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C644" w14:textId="77777777" w:rsidR="007F53A0" w:rsidRPr="005A7DDD" w:rsidRDefault="007F53A0" w:rsidP="007F53A0">
      <w:pPr>
        <w:spacing w:after="0" w:line="240" w:lineRule="auto"/>
        <w:rPr>
          <w:rFonts w:ascii="Open Sans" w:eastAsia="Times New Roman" w:hAnsi="Open Sans" w:cs="Open Sans"/>
          <w:b/>
          <w:sz w:val="28"/>
          <w:szCs w:val="28"/>
          <w:lang w:val="en-US"/>
        </w:rPr>
      </w:pPr>
      <w:bookmarkStart w:id="0" w:name="_GoBack"/>
      <w:bookmarkEnd w:id="0"/>
      <w:r w:rsidRPr="005A7DDD">
        <w:rPr>
          <w:rFonts w:ascii="Open Sans" w:eastAsia="Times New Roman" w:hAnsi="Open Sans" w:cs="Open Sans"/>
          <w:b/>
          <w:sz w:val="28"/>
          <w:szCs w:val="28"/>
          <w:lang w:val="en-US"/>
        </w:rPr>
        <w:t>De Minimis self-declaration</w:t>
      </w:r>
    </w:p>
    <w:p w14:paraId="428DEAC1" w14:textId="77777777" w:rsidR="007F53A0" w:rsidRPr="005A7DDD" w:rsidRDefault="007F53A0" w:rsidP="007F53A0">
      <w:pPr>
        <w:spacing w:after="0" w:line="240" w:lineRule="auto"/>
        <w:rPr>
          <w:rFonts w:ascii="Open Sans" w:eastAsia="Times New Roman" w:hAnsi="Open Sans" w:cs="Open Sans"/>
          <w:sz w:val="20"/>
          <w:szCs w:val="20"/>
          <w:lang w:val="en-US"/>
        </w:rPr>
      </w:pPr>
    </w:p>
    <w:p w14:paraId="5973D5F6" w14:textId="77777777" w:rsidR="007F53A0" w:rsidRPr="008A21F4" w:rsidRDefault="007F53A0" w:rsidP="007F53A0">
      <w:pPr>
        <w:spacing w:after="0" w:line="240" w:lineRule="auto"/>
        <w:rPr>
          <w:rFonts w:ascii="Open Sans" w:eastAsia="Times New Roman" w:hAnsi="Open Sans" w:cs="Open Sans"/>
          <w:lang w:val="en-GB"/>
        </w:rPr>
      </w:pPr>
      <w:r w:rsidRPr="008A21F4">
        <w:rPr>
          <w:rFonts w:ascii="Open Sans" w:eastAsia="Times New Roman" w:hAnsi="Open Sans" w:cs="Open Sans"/>
          <w:lang w:val="en-GB"/>
        </w:rPr>
        <w:t xml:space="preserve">Please complete this declaration of previous State aid received under the </w:t>
      </w:r>
      <w:r w:rsidRPr="008A21F4">
        <w:rPr>
          <w:rFonts w:ascii="Open Sans" w:eastAsia="Times New Roman" w:hAnsi="Open Sans" w:cs="Open Sans"/>
          <w:i/>
          <w:lang w:val="en-GB"/>
        </w:rPr>
        <w:t>de minimis</w:t>
      </w:r>
      <w:r w:rsidRPr="008A21F4">
        <w:rPr>
          <w:rFonts w:ascii="Open Sans" w:eastAsia="Times New Roman" w:hAnsi="Open Sans" w:cs="Open Sans"/>
          <w:lang w:val="en-GB"/>
        </w:rPr>
        <w:t xml:space="preserve"> rule. Using this information we will assess your eligibility to receive assistance. Please note that having received previous aid under the </w:t>
      </w:r>
      <w:r w:rsidRPr="008A21F4">
        <w:rPr>
          <w:rFonts w:ascii="Open Sans" w:eastAsia="Times New Roman" w:hAnsi="Open Sans" w:cs="Open Sans"/>
          <w:i/>
          <w:lang w:val="en-GB"/>
        </w:rPr>
        <w:t>de minimis</w:t>
      </w:r>
      <w:r w:rsidRPr="008A21F4">
        <w:rPr>
          <w:rFonts w:ascii="Open Sans" w:eastAsia="Times New Roman" w:hAnsi="Open Sans" w:cs="Open Sans"/>
          <w:lang w:val="en-GB"/>
        </w:rPr>
        <w:t xml:space="preserve"> Regulation does not automatically disqualify you from receiving further </w:t>
      </w:r>
      <w:r w:rsidRPr="008A21F4">
        <w:rPr>
          <w:rFonts w:ascii="Open Sans" w:eastAsia="Times New Roman" w:hAnsi="Open Sans" w:cs="Open Sans"/>
          <w:i/>
          <w:lang w:val="en-GB"/>
        </w:rPr>
        <w:t>de minimis</w:t>
      </w:r>
      <w:r w:rsidRPr="008A21F4">
        <w:rPr>
          <w:rFonts w:ascii="Open Sans" w:eastAsia="Times New Roman" w:hAnsi="Open Sans" w:cs="Open Sans"/>
          <w:lang w:val="en-GB"/>
        </w:rPr>
        <w:t xml:space="preserve"> aid from the North West Europe Programme. Please include any aid received, from national or EU sources, in this declaration. </w:t>
      </w:r>
    </w:p>
    <w:p w14:paraId="4BE43521" w14:textId="77777777" w:rsidR="007F53A0" w:rsidRPr="008A21F4" w:rsidRDefault="007F53A0" w:rsidP="007F53A0">
      <w:pPr>
        <w:spacing w:after="0" w:line="240" w:lineRule="auto"/>
        <w:rPr>
          <w:rFonts w:ascii="Open Sans" w:eastAsia="Times New Roman" w:hAnsi="Open Sans" w:cs="Open Sans"/>
          <w:lang w:val="en-GB"/>
        </w:rPr>
      </w:pPr>
    </w:p>
    <w:p w14:paraId="0CD70902" w14:textId="77777777" w:rsidR="007F53A0" w:rsidRPr="008A21F4" w:rsidRDefault="007F53A0" w:rsidP="007F53A0">
      <w:pPr>
        <w:spacing w:after="0" w:line="240" w:lineRule="auto"/>
        <w:rPr>
          <w:rFonts w:ascii="Open Sans" w:eastAsia="Times New Roman" w:hAnsi="Open Sans" w:cs="Open Sans"/>
          <w:lang w:val="en-GB"/>
        </w:rPr>
      </w:pPr>
      <w:r w:rsidRPr="008A21F4">
        <w:rPr>
          <w:rFonts w:ascii="Open Sans" w:eastAsia="Times New Roman" w:hAnsi="Open Sans" w:cs="Open Sans"/>
          <w:lang w:val="en-GB"/>
        </w:rPr>
        <w:t>Declaration</w:t>
      </w:r>
    </w:p>
    <w:p w14:paraId="30815949" w14:textId="77777777" w:rsidR="007F53A0" w:rsidRPr="008A21F4" w:rsidRDefault="007F53A0" w:rsidP="007F53A0">
      <w:pPr>
        <w:spacing w:after="0" w:line="240" w:lineRule="auto"/>
        <w:rPr>
          <w:rFonts w:ascii="Open Sans" w:eastAsia="Times New Roman" w:hAnsi="Open Sans" w:cs="Open Sans"/>
          <w:lang w:val="en-GB"/>
        </w:rPr>
      </w:pPr>
      <w:r w:rsidRPr="008A21F4">
        <w:rPr>
          <w:rFonts w:ascii="Open Sans" w:eastAsia="Times New Roman" w:hAnsi="Open Sans" w:cs="Open Sans"/>
          <w:lang w:val="en-GB"/>
        </w:rPr>
        <w:t xml:space="preserve">I, the undersigned, representing </w:t>
      </w:r>
      <w:r w:rsidRPr="008A21F4">
        <w:rPr>
          <w:rFonts w:ascii="Open Sans" w:eastAsia="Times New Roman" w:hAnsi="Open Sans" w:cs="Open Sans"/>
          <w:highlight w:val="lightGray"/>
          <w:lang w:val="en-GB"/>
        </w:rPr>
        <w:t xml:space="preserve">name of the </w:t>
      </w:r>
      <w:r w:rsidRPr="00B328AB">
        <w:rPr>
          <w:rFonts w:ascii="Open Sans" w:eastAsia="Times New Roman" w:hAnsi="Open Sans" w:cs="Open Sans"/>
          <w:highlight w:val="lightGray"/>
          <w:lang w:val="en-GB"/>
        </w:rPr>
        <w:t>company</w:t>
      </w:r>
      <w:r>
        <w:rPr>
          <w:rFonts w:ascii="Open Sans" w:eastAsia="Times New Roman" w:hAnsi="Open Sans" w:cs="Open Sans"/>
          <w:lang w:val="en-GB"/>
        </w:rPr>
        <w:t xml:space="preserve"> and receiving aid within the framework of</w:t>
      </w:r>
      <w:r w:rsidRPr="008A21F4">
        <w:rPr>
          <w:rFonts w:ascii="Open Sans" w:eastAsia="Times New Roman" w:hAnsi="Open Sans" w:cs="Open Sans"/>
          <w:lang w:val="en-GB"/>
        </w:rPr>
        <w:t xml:space="preserve"> the project </w:t>
      </w:r>
      <w:r>
        <w:rPr>
          <w:rFonts w:ascii="Open Sans" w:eastAsia="Times New Roman" w:hAnsi="Open Sans" w:cs="Open Sans"/>
          <w:lang w:val="en-GB"/>
        </w:rPr>
        <w:t>Blockstart</w:t>
      </w:r>
      <w:r w:rsidRPr="008A21F4">
        <w:rPr>
          <w:rFonts w:ascii="Open Sans" w:eastAsia="Times New Roman" w:hAnsi="Open Sans" w:cs="Open Sans"/>
          <w:lang w:val="en-GB"/>
        </w:rPr>
        <w:t xml:space="preserve"> declare that:</w:t>
      </w:r>
    </w:p>
    <w:p w14:paraId="6D4B0AE7" w14:textId="77777777" w:rsidR="007F53A0" w:rsidRPr="008A21F4" w:rsidRDefault="007F53A0" w:rsidP="007F53A0">
      <w:pPr>
        <w:spacing w:after="0" w:line="240" w:lineRule="auto"/>
        <w:rPr>
          <w:rFonts w:ascii="Open Sans" w:eastAsia="Times New Roman" w:hAnsi="Open Sans" w:cs="Open Sans"/>
          <w:lang w:val="en-GB"/>
        </w:rPr>
      </w:pPr>
    </w:p>
    <w:p w14:paraId="72EE2166" w14:textId="77777777" w:rsidR="007F53A0" w:rsidRPr="008A21F4" w:rsidRDefault="007F53A0" w:rsidP="007F53A0">
      <w:pPr>
        <w:numPr>
          <w:ilvl w:val="0"/>
          <w:numId w:val="1"/>
        </w:numPr>
        <w:spacing w:after="0" w:line="240" w:lineRule="auto"/>
        <w:rPr>
          <w:rFonts w:ascii="Open Sans" w:eastAsia="Times New Roman" w:hAnsi="Open Sans" w:cs="Open Sans"/>
          <w:lang w:val="en-GB"/>
        </w:rPr>
      </w:pPr>
      <w:r w:rsidRPr="008A21F4">
        <w:rPr>
          <w:rFonts w:ascii="Open Sans" w:eastAsia="Times New Roman" w:hAnsi="Open Sans" w:cs="Open Sans"/>
          <w:lang w:val="en-GB"/>
        </w:rPr>
        <w:t xml:space="preserve">the institution I represent and all other entities belonging to the same company group as my institution have not received any contribution falling under the </w:t>
      </w:r>
      <w:r w:rsidRPr="008A21F4">
        <w:rPr>
          <w:rFonts w:ascii="Open Sans" w:eastAsia="Times New Roman" w:hAnsi="Open Sans" w:cs="Open Sans"/>
          <w:i/>
          <w:lang w:val="en-GB"/>
        </w:rPr>
        <w:t>de minimis</w:t>
      </w:r>
      <w:r w:rsidRPr="008A21F4">
        <w:rPr>
          <w:rFonts w:ascii="Open Sans" w:eastAsia="Times New Roman" w:hAnsi="Open Sans" w:cs="Open Sans"/>
          <w:lang w:val="en-GB"/>
        </w:rPr>
        <w:t xml:space="preserve"> Regulation during the previous three fiscal years (this being the current fiscal year and the previous two fiscal years)</w:t>
      </w:r>
    </w:p>
    <w:p w14:paraId="34842C08" w14:textId="77777777" w:rsidR="007F53A0" w:rsidRPr="008A21F4" w:rsidRDefault="007F53A0" w:rsidP="007F53A0">
      <w:pPr>
        <w:spacing w:after="0" w:line="240" w:lineRule="auto"/>
        <w:rPr>
          <w:rFonts w:ascii="Open Sans" w:eastAsia="Times New Roman" w:hAnsi="Open Sans" w:cs="Open Sans"/>
          <w:lang w:val="en-GB"/>
        </w:rPr>
      </w:pPr>
    </w:p>
    <w:p w14:paraId="4D9A10FD" w14:textId="77777777" w:rsidR="007F53A0" w:rsidRPr="008A21F4" w:rsidRDefault="007F53A0" w:rsidP="007F53A0">
      <w:pPr>
        <w:numPr>
          <w:ilvl w:val="0"/>
          <w:numId w:val="1"/>
        </w:numPr>
        <w:spacing w:after="0" w:line="240" w:lineRule="auto"/>
        <w:rPr>
          <w:rFonts w:ascii="Open Sans" w:eastAsia="Times New Roman" w:hAnsi="Open Sans" w:cs="Open Sans"/>
          <w:lang w:val="en-GB"/>
        </w:rPr>
      </w:pPr>
      <w:r w:rsidRPr="008A21F4">
        <w:rPr>
          <w:rFonts w:ascii="Open Sans" w:eastAsia="Times New Roman" w:hAnsi="Open Sans" w:cs="Open Sans"/>
          <w:lang w:val="en-GB"/>
        </w:rPr>
        <w:t xml:space="preserve">the institution I represent and all other entities belonging to the same company group as my institution have received the following contribution(s) falling under the </w:t>
      </w:r>
      <w:r w:rsidRPr="008A21F4">
        <w:rPr>
          <w:rFonts w:ascii="Open Sans" w:eastAsia="Times New Roman" w:hAnsi="Open Sans" w:cs="Open Sans"/>
          <w:i/>
          <w:lang w:val="en-GB"/>
        </w:rPr>
        <w:t>de minimis</w:t>
      </w:r>
      <w:r w:rsidRPr="008A21F4">
        <w:rPr>
          <w:rFonts w:ascii="Open Sans" w:eastAsia="Times New Roman" w:hAnsi="Open Sans" w:cs="Open Sans"/>
          <w:lang w:val="en-GB"/>
        </w:rPr>
        <w:t xml:space="preserve"> Regulation during the previous three fiscal years (this being the current fiscal year and the previous two fiscal years):</w:t>
      </w:r>
    </w:p>
    <w:p w14:paraId="2A8A8AD6" w14:textId="77777777" w:rsidR="007F53A0" w:rsidRPr="008A21F4" w:rsidRDefault="007F53A0" w:rsidP="007F53A0">
      <w:pPr>
        <w:spacing w:after="0" w:line="240" w:lineRule="auto"/>
        <w:rPr>
          <w:rFonts w:ascii="Open Sans" w:eastAsia="Times New Roman" w:hAnsi="Open Sans" w:cs="Open Sans"/>
          <w:lang w:val="en-GB"/>
        </w:rPr>
      </w:pPr>
    </w:p>
    <w:tbl>
      <w:tblPr>
        <w:tblStyle w:val="Tabelraster"/>
        <w:tblW w:w="0" w:type="auto"/>
        <w:tblLook w:val="01E0" w:firstRow="1" w:lastRow="1" w:firstColumn="1" w:lastColumn="1" w:noHBand="0" w:noVBand="0"/>
      </w:tblPr>
      <w:tblGrid>
        <w:gridCol w:w="2294"/>
        <w:gridCol w:w="2256"/>
        <w:gridCol w:w="2255"/>
        <w:gridCol w:w="2257"/>
      </w:tblGrid>
      <w:tr w:rsidR="007F53A0" w:rsidRPr="008A21F4" w14:paraId="091EA3E4" w14:textId="77777777" w:rsidTr="00DB2321">
        <w:tc>
          <w:tcPr>
            <w:tcW w:w="2444" w:type="dxa"/>
          </w:tcPr>
          <w:p w14:paraId="1FFCEDD0" w14:textId="77777777" w:rsidR="007F53A0" w:rsidRPr="008A21F4" w:rsidRDefault="007F53A0" w:rsidP="00DB2321">
            <w:pPr>
              <w:rPr>
                <w:rFonts w:ascii="Open Sans" w:hAnsi="Open Sans" w:cs="Open Sans"/>
                <w:lang w:val="en-GB"/>
              </w:rPr>
            </w:pPr>
            <w:r w:rsidRPr="008A21F4">
              <w:rPr>
                <w:rFonts w:ascii="Open Sans" w:hAnsi="Open Sans" w:cs="Open Sans"/>
                <w:lang w:val="en-GB"/>
              </w:rPr>
              <w:t>Beneficiary, project name and programme</w:t>
            </w:r>
          </w:p>
        </w:tc>
        <w:tc>
          <w:tcPr>
            <w:tcW w:w="2444" w:type="dxa"/>
          </w:tcPr>
          <w:p w14:paraId="453C15A3" w14:textId="77777777" w:rsidR="007F53A0" w:rsidRPr="008A21F4" w:rsidRDefault="007F53A0" w:rsidP="00DB2321">
            <w:pPr>
              <w:rPr>
                <w:rFonts w:ascii="Open Sans" w:hAnsi="Open Sans" w:cs="Open Sans"/>
                <w:lang w:val="en-GB"/>
              </w:rPr>
            </w:pPr>
            <w:r w:rsidRPr="008A21F4">
              <w:rPr>
                <w:rFonts w:ascii="Open Sans" w:hAnsi="Open Sans" w:cs="Open Sans"/>
                <w:lang w:val="en-GB"/>
              </w:rPr>
              <w:t>Country granting the de minimis aid</w:t>
            </w:r>
          </w:p>
        </w:tc>
        <w:tc>
          <w:tcPr>
            <w:tcW w:w="2445" w:type="dxa"/>
          </w:tcPr>
          <w:p w14:paraId="2D16D639" w14:textId="77777777" w:rsidR="007F53A0" w:rsidRPr="008A21F4" w:rsidRDefault="007F53A0" w:rsidP="00DB2321">
            <w:pPr>
              <w:rPr>
                <w:rFonts w:ascii="Open Sans" w:hAnsi="Open Sans" w:cs="Open Sans"/>
                <w:lang w:val="en-GB"/>
              </w:rPr>
            </w:pPr>
            <w:r w:rsidRPr="008A21F4">
              <w:rPr>
                <w:rFonts w:ascii="Open Sans" w:hAnsi="Open Sans" w:cs="Open Sans"/>
                <w:lang w:val="en-GB"/>
              </w:rPr>
              <w:t>Amount granted, in EUR</w:t>
            </w:r>
          </w:p>
        </w:tc>
        <w:tc>
          <w:tcPr>
            <w:tcW w:w="2445" w:type="dxa"/>
          </w:tcPr>
          <w:p w14:paraId="60251189" w14:textId="77777777" w:rsidR="007F53A0" w:rsidRPr="008A21F4" w:rsidRDefault="007F53A0" w:rsidP="00DB2321">
            <w:pPr>
              <w:rPr>
                <w:rFonts w:ascii="Open Sans" w:hAnsi="Open Sans" w:cs="Open Sans"/>
                <w:lang w:val="en-GB"/>
              </w:rPr>
            </w:pPr>
            <w:r w:rsidRPr="008A21F4">
              <w:rPr>
                <w:rFonts w:ascii="Open Sans" w:hAnsi="Open Sans" w:cs="Open Sans"/>
                <w:lang w:val="en-GB"/>
              </w:rPr>
              <w:t>Date of granting</w:t>
            </w:r>
          </w:p>
        </w:tc>
      </w:tr>
      <w:tr w:rsidR="007F53A0" w:rsidRPr="008A21F4" w14:paraId="09212EC0" w14:textId="77777777" w:rsidTr="00DB2321">
        <w:tc>
          <w:tcPr>
            <w:tcW w:w="2444" w:type="dxa"/>
          </w:tcPr>
          <w:p w14:paraId="7782239D" w14:textId="77777777" w:rsidR="007F53A0" w:rsidRPr="008A21F4" w:rsidRDefault="007F53A0" w:rsidP="00DB2321">
            <w:pPr>
              <w:rPr>
                <w:rFonts w:ascii="Open Sans" w:hAnsi="Open Sans" w:cs="Open Sans"/>
                <w:lang w:val="en-GB"/>
              </w:rPr>
            </w:pPr>
          </w:p>
        </w:tc>
        <w:tc>
          <w:tcPr>
            <w:tcW w:w="2444" w:type="dxa"/>
          </w:tcPr>
          <w:p w14:paraId="569D2A4E" w14:textId="77777777" w:rsidR="007F53A0" w:rsidRPr="008A21F4" w:rsidRDefault="007F53A0" w:rsidP="00DB2321">
            <w:pPr>
              <w:rPr>
                <w:rFonts w:ascii="Open Sans" w:hAnsi="Open Sans" w:cs="Open Sans"/>
                <w:lang w:val="en-GB"/>
              </w:rPr>
            </w:pPr>
          </w:p>
        </w:tc>
        <w:tc>
          <w:tcPr>
            <w:tcW w:w="2445" w:type="dxa"/>
          </w:tcPr>
          <w:p w14:paraId="666CDE4E" w14:textId="77777777" w:rsidR="007F53A0" w:rsidRPr="008A21F4" w:rsidRDefault="007F53A0" w:rsidP="00DB2321">
            <w:pPr>
              <w:rPr>
                <w:rFonts w:ascii="Open Sans" w:hAnsi="Open Sans" w:cs="Open Sans"/>
                <w:lang w:val="en-GB"/>
              </w:rPr>
            </w:pPr>
          </w:p>
        </w:tc>
        <w:tc>
          <w:tcPr>
            <w:tcW w:w="2445" w:type="dxa"/>
          </w:tcPr>
          <w:p w14:paraId="79994CB8" w14:textId="77777777" w:rsidR="007F53A0" w:rsidRPr="008A21F4" w:rsidRDefault="007F53A0" w:rsidP="00DB2321">
            <w:pPr>
              <w:rPr>
                <w:rFonts w:ascii="Open Sans" w:hAnsi="Open Sans" w:cs="Open Sans"/>
                <w:lang w:val="en-GB"/>
              </w:rPr>
            </w:pPr>
          </w:p>
        </w:tc>
      </w:tr>
      <w:tr w:rsidR="007F53A0" w:rsidRPr="008A21F4" w14:paraId="1AD11EDC" w14:textId="77777777" w:rsidTr="00DB2321">
        <w:tc>
          <w:tcPr>
            <w:tcW w:w="2444" w:type="dxa"/>
          </w:tcPr>
          <w:p w14:paraId="590B319F" w14:textId="77777777" w:rsidR="007F53A0" w:rsidRPr="008A21F4" w:rsidRDefault="007F53A0" w:rsidP="00DB2321">
            <w:pPr>
              <w:rPr>
                <w:rFonts w:ascii="Open Sans" w:hAnsi="Open Sans" w:cs="Open Sans"/>
                <w:lang w:val="en-GB"/>
              </w:rPr>
            </w:pPr>
          </w:p>
        </w:tc>
        <w:tc>
          <w:tcPr>
            <w:tcW w:w="2444" w:type="dxa"/>
          </w:tcPr>
          <w:p w14:paraId="1D7B919B" w14:textId="77777777" w:rsidR="007F53A0" w:rsidRPr="008A21F4" w:rsidRDefault="007F53A0" w:rsidP="00DB2321">
            <w:pPr>
              <w:rPr>
                <w:rFonts w:ascii="Open Sans" w:hAnsi="Open Sans" w:cs="Open Sans"/>
                <w:lang w:val="en-GB"/>
              </w:rPr>
            </w:pPr>
          </w:p>
        </w:tc>
        <w:tc>
          <w:tcPr>
            <w:tcW w:w="2445" w:type="dxa"/>
          </w:tcPr>
          <w:p w14:paraId="288DAFEA" w14:textId="77777777" w:rsidR="007F53A0" w:rsidRPr="008A21F4" w:rsidRDefault="007F53A0" w:rsidP="00DB2321">
            <w:pPr>
              <w:rPr>
                <w:rFonts w:ascii="Open Sans" w:hAnsi="Open Sans" w:cs="Open Sans"/>
                <w:lang w:val="en-GB"/>
              </w:rPr>
            </w:pPr>
          </w:p>
        </w:tc>
        <w:tc>
          <w:tcPr>
            <w:tcW w:w="2445" w:type="dxa"/>
          </w:tcPr>
          <w:p w14:paraId="5EA27E38" w14:textId="77777777" w:rsidR="007F53A0" w:rsidRPr="008A21F4" w:rsidRDefault="007F53A0" w:rsidP="00DB2321">
            <w:pPr>
              <w:rPr>
                <w:rFonts w:ascii="Open Sans" w:hAnsi="Open Sans" w:cs="Open Sans"/>
                <w:lang w:val="en-GB"/>
              </w:rPr>
            </w:pPr>
          </w:p>
        </w:tc>
      </w:tr>
      <w:tr w:rsidR="007F53A0" w:rsidRPr="008A21F4" w14:paraId="25166336" w14:textId="77777777" w:rsidTr="00DB2321">
        <w:tc>
          <w:tcPr>
            <w:tcW w:w="2444" w:type="dxa"/>
          </w:tcPr>
          <w:p w14:paraId="6399A2B4" w14:textId="77777777" w:rsidR="007F53A0" w:rsidRPr="008A21F4" w:rsidRDefault="007F53A0" w:rsidP="00DB2321">
            <w:pPr>
              <w:rPr>
                <w:rFonts w:ascii="Open Sans" w:hAnsi="Open Sans" w:cs="Open Sans"/>
                <w:lang w:val="en-GB"/>
              </w:rPr>
            </w:pPr>
          </w:p>
        </w:tc>
        <w:tc>
          <w:tcPr>
            <w:tcW w:w="2444" w:type="dxa"/>
          </w:tcPr>
          <w:p w14:paraId="1803C9DB" w14:textId="77777777" w:rsidR="007F53A0" w:rsidRPr="008A21F4" w:rsidRDefault="007F53A0" w:rsidP="00DB2321">
            <w:pPr>
              <w:rPr>
                <w:rFonts w:ascii="Open Sans" w:hAnsi="Open Sans" w:cs="Open Sans"/>
                <w:lang w:val="en-GB"/>
              </w:rPr>
            </w:pPr>
          </w:p>
        </w:tc>
        <w:tc>
          <w:tcPr>
            <w:tcW w:w="2445" w:type="dxa"/>
          </w:tcPr>
          <w:p w14:paraId="646390B3" w14:textId="77777777" w:rsidR="007F53A0" w:rsidRPr="008A21F4" w:rsidRDefault="007F53A0" w:rsidP="00DB2321">
            <w:pPr>
              <w:rPr>
                <w:rFonts w:ascii="Open Sans" w:hAnsi="Open Sans" w:cs="Open Sans"/>
                <w:lang w:val="en-GB"/>
              </w:rPr>
            </w:pPr>
          </w:p>
        </w:tc>
        <w:tc>
          <w:tcPr>
            <w:tcW w:w="2445" w:type="dxa"/>
          </w:tcPr>
          <w:p w14:paraId="5AB3216E" w14:textId="77777777" w:rsidR="007F53A0" w:rsidRPr="008A21F4" w:rsidRDefault="007F53A0" w:rsidP="00DB2321">
            <w:pPr>
              <w:rPr>
                <w:rFonts w:ascii="Open Sans" w:hAnsi="Open Sans" w:cs="Open Sans"/>
                <w:lang w:val="en-GB"/>
              </w:rPr>
            </w:pPr>
          </w:p>
        </w:tc>
      </w:tr>
      <w:tr w:rsidR="007F53A0" w:rsidRPr="008A21F4" w14:paraId="5BA6654D" w14:textId="77777777" w:rsidTr="00DB2321">
        <w:tc>
          <w:tcPr>
            <w:tcW w:w="2444" w:type="dxa"/>
            <w:tcBorders>
              <w:bottom w:val="single" w:sz="4" w:space="0" w:color="auto"/>
            </w:tcBorders>
          </w:tcPr>
          <w:p w14:paraId="66E8D7D2" w14:textId="77777777" w:rsidR="007F53A0" w:rsidRPr="008A21F4" w:rsidRDefault="007F53A0" w:rsidP="00DB2321">
            <w:pPr>
              <w:rPr>
                <w:rFonts w:ascii="Open Sans" w:hAnsi="Open Sans" w:cs="Open Sans"/>
                <w:lang w:val="en-GB"/>
              </w:rPr>
            </w:pPr>
          </w:p>
        </w:tc>
        <w:tc>
          <w:tcPr>
            <w:tcW w:w="2444" w:type="dxa"/>
            <w:tcBorders>
              <w:bottom w:val="single" w:sz="4" w:space="0" w:color="auto"/>
            </w:tcBorders>
          </w:tcPr>
          <w:p w14:paraId="0DAC7EE4" w14:textId="77777777" w:rsidR="007F53A0" w:rsidRPr="008A21F4" w:rsidRDefault="007F53A0" w:rsidP="00DB2321">
            <w:pPr>
              <w:rPr>
                <w:rFonts w:ascii="Open Sans" w:hAnsi="Open Sans" w:cs="Open Sans"/>
                <w:lang w:val="en-GB"/>
              </w:rPr>
            </w:pPr>
          </w:p>
        </w:tc>
        <w:tc>
          <w:tcPr>
            <w:tcW w:w="2445" w:type="dxa"/>
          </w:tcPr>
          <w:p w14:paraId="2D8C9E03" w14:textId="77777777" w:rsidR="007F53A0" w:rsidRPr="008A21F4" w:rsidRDefault="007F53A0" w:rsidP="00DB2321">
            <w:pPr>
              <w:rPr>
                <w:rFonts w:ascii="Open Sans" w:hAnsi="Open Sans" w:cs="Open Sans"/>
                <w:lang w:val="en-GB"/>
              </w:rPr>
            </w:pPr>
          </w:p>
        </w:tc>
        <w:tc>
          <w:tcPr>
            <w:tcW w:w="2445" w:type="dxa"/>
          </w:tcPr>
          <w:p w14:paraId="0696A0E0" w14:textId="77777777" w:rsidR="007F53A0" w:rsidRPr="008A21F4" w:rsidRDefault="007F53A0" w:rsidP="00DB2321">
            <w:pPr>
              <w:rPr>
                <w:rFonts w:ascii="Open Sans" w:hAnsi="Open Sans" w:cs="Open Sans"/>
                <w:lang w:val="en-GB"/>
              </w:rPr>
            </w:pPr>
          </w:p>
        </w:tc>
      </w:tr>
      <w:tr w:rsidR="007F53A0" w:rsidRPr="008A21F4" w14:paraId="05C566E4" w14:textId="77777777" w:rsidTr="00DB2321">
        <w:tc>
          <w:tcPr>
            <w:tcW w:w="4888" w:type="dxa"/>
            <w:gridSpan w:val="2"/>
            <w:tcBorders>
              <w:left w:val="nil"/>
              <w:bottom w:val="nil"/>
            </w:tcBorders>
          </w:tcPr>
          <w:p w14:paraId="19891018" w14:textId="77777777" w:rsidR="007F53A0" w:rsidRPr="008A21F4" w:rsidRDefault="007F53A0" w:rsidP="00DB2321">
            <w:pPr>
              <w:rPr>
                <w:rFonts w:ascii="Open Sans" w:hAnsi="Open Sans" w:cs="Open Sans"/>
                <w:lang w:val="en-GB"/>
              </w:rPr>
            </w:pPr>
          </w:p>
        </w:tc>
        <w:tc>
          <w:tcPr>
            <w:tcW w:w="2445" w:type="dxa"/>
          </w:tcPr>
          <w:p w14:paraId="3A3B2962" w14:textId="77777777" w:rsidR="007F53A0" w:rsidRPr="008A21F4" w:rsidRDefault="007F53A0" w:rsidP="00DB2321">
            <w:pPr>
              <w:rPr>
                <w:rFonts w:ascii="Open Sans" w:hAnsi="Open Sans" w:cs="Open Sans"/>
                <w:b/>
                <w:lang w:val="en-GB"/>
              </w:rPr>
            </w:pPr>
            <w:r w:rsidRPr="008A21F4">
              <w:rPr>
                <w:rFonts w:ascii="Open Sans" w:hAnsi="Open Sans" w:cs="Open Sans"/>
                <w:b/>
                <w:lang w:val="en-GB"/>
              </w:rPr>
              <w:t>Total:</w:t>
            </w:r>
          </w:p>
        </w:tc>
        <w:tc>
          <w:tcPr>
            <w:tcW w:w="2445" w:type="dxa"/>
            <w:tcBorders>
              <w:bottom w:val="nil"/>
              <w:right w:val="nil"/>
            </w:tcBorders>
          </w:tcPr>
          <w:p w14:paraId="0AAF6514" w14:textId="77777777" w:rsidR="007F53A0" w:rsidRPr="008A21F4" w:rsidRDefault="007F53A0" w:rsidP="00DB2321">
            <w:pPr>
              <w:rPr>
                <w:rFonts w:ascii="Open Sans" w:hAnsi="Open Sans" w:cs="Open Sans"/>
                <w:lang w:val="en-GB"/>
              </w:rPr>
            </w:pPr>
          </w:p>
        </w:tc>
      </w:tr>
    </w:tbl>
    <w:p w14:paraId="0108FC45" w14:textId="77777777" w:rsidR="007F53A0" w:rsidRPr="008A21F4" w:rsidRDefault="007F53A0" w:rsidP="007F53A0">
      <w:pPr>
        <w:spacing w:after="0" w:line="240" w:lineRule="auto"/>
        <w:rPr>
          <w:rFonts w:ascii="Open Sans" w:eastAsia="Times New Roman" w:hAnsi="Open Sans" w:cs="Open Sans"/>
          <w:lang w:val="en-GB"/>
        </w:rPr>
      </w:pPr>
    </w:p>
    <w:p w14:paraId="50C28276" w14:textId="77777777" w:rsidR="007F53A0" w:rsidRPr="008A21F4" w:rsidRDefault="007F53A0" w:rsidP="007F53A0">
      <w:pPr>
        <w:tabs>
          <w:tab w:val="left" w:pos="1230"/>
        </w:tabs>
        <w:spacing w:after="0" w:line="240" w:lineRule="auto"/>
        <w:rPr>
          <w:rFonts w:ascii="Open Sans" w:eastAsia="Times New Roman" w:hAnsi="Open Sans" w:cs="Open Sans"/>
          <w:lang w:val="en-GB"/>
        </w:rPr>
      </w:pPr>
      <w:r w:rsidRPr="008A21F4">
        <w:rPr>
          <w:rFonts w:ascii="Open Sans" w:eastAsia="Times New Roman" w:hAnsi="Open Sans" w:cs="Open Sans"/>
          <w:lang w:val="en-GB"/>
        </w:rPr>
        <w:t>I acknowledge that untruthful/false declarations, in addition to the administrative sanctions and the request for refunding unduly received contribution charged with the interests, can also be prosecuted by the penal code.</w:t>
      </w:r>
    </w:p>
    <w:p w14:paraId="5113C6D4" w14:textId="77777777" w:rsidR="007F53A0" w:rsidRPr="008A21F4" w:rsidRDefault="007F53A0" w:rsidP="007F53A0">
      <w:pPr>
        <w:widowControl w:val="0"/>
        <w:autoSpaceDE w:val="0"/>
        <w:autoSpaceDN w:val="0"/>
        <w:adjustRightInd w:val="0"/>
        <w:spacing w:after="0" w:line="240" w:lineRule="auto"/>
        <w:rPr>
          <w:rFonts w:ascii="Open Sans" w:eastAsia="Times New Roman" w:hAnsi="Open Sans" w:cs="Open Sans"/>
          <w:lang w:val="en-GB"/>
        </w:rPr>
      </w:pPr>
    </w:p>
    <w:p w14:paraId="7EBF8FC6" w14:textId="77777777" w:rsidR="007F53A0" w:rsidRPr="008A21F4" w:rsidRDefault="007F53A0" w:rsidP="007F53A0">
      <w:pPr>
        <w:widowControl w:val="0"/>
        <w:autoSpaceDE w:val="0"/>
        <w:autoSpaceDN w:val="0"/>
        <w:adjustRightInd w:val="0"/>
        <w:spacing w:after="0" w:line="240" w:lineRule="auto"/>
        <w:rPr>
          <w:rFonts w:ascii="Open Sans" w:eastAsia="Times New Roman" w:hAnsi="Open Sans" w:cs="Open Sans"/>
          <w:lang w:val="en-GB"/>
        </w:rPr>
      </w:pPr>
    </w:p>
    <w:p w14:paraId="15FB9A31" w14:textId="77777777" w:rsidR="007F53A0" w:rsidRPr="008A21F4" w:rsidRDefault="007F53A0" w:rsidP="007F53A0">
      <w:pPr>
        <w:spacing w:after="0" w:line="240" w:lineRule="auto"/>
        <w:rPr>
          <w:rFonts w:ascii="Open Sans" w:eastAsia="Times New Roman" w:hAnsi="Open Sans" w:cs="Open Sans"/>
          <w:lang w:val="en-GB"/>
        </w:rPr>
      </w:pPr>
      <w:r w:rsidRPr="008A21F4">
        <w:rPr>
          <w:rFonts w:ascii="Open Sans" w:eastAsia="Times New Roman" w:hAnsi="Open Sans" w:cs="Open Sans"/>
          <w:lang w:val="en-GB"/>
        </w:rPr>
        <w:t>Signature</w:t>
      </w:r>
      <w:r w:rsidRPr="008A21F4">
        <w:rPr>
          <w:rFonts w:ascii="Open Sans" w:eastAsia="Times New Roman" w:hAnsi="Open Sans" w:cs="Open Sans"/>
          <w:lang w:val="en-GB"/>
        </w:rPr>
        <w:tab/>
      </w:r>
      <w:r w:rsidRPr="008A21F4">
        <w:rPr>
          <w:rFonts w:ascii="Open Sans" w:eastAsia="Times New Roman" w:hAnsi="Open Sans" w:cs="Open Sans"/>
          <w:lang w:val="en-GB"/>
        </w:rPr>
        <w:tab/>
      </w:r>
      <w:r w:rsidRPr="008A21F4">
        <w:rPr>
          <w:rFonts w:ascii="Open Sans" w:eastAsia="Times New Roman" w:hAnsi="Open Sans" w:cs="Open Sans"/>
          <w:lang w:val="en-GB"/>
        </w:rPr>
        <w:tab/>
      </w:r>
      <w:r w:rsidRPr="008A21F4">
        <w:rPr>
          <w:rFonts w:ascii="Open Sans" w:eastAsia="Times New Roman" w:hAnsi="Open Sans" w:cs="Open Sans"/>
          <w:lang w:val="en-GB"/>
        </w:rPr>
        <w:tab/>
      </w:r>
      <w:r w:rsidRPr="008A21F4">
        <w:rPr>
          <w:rFonts w:ascii="Open Sans" w:eastAsia="Times New Roman" w:hAnsi="Open Sans" w:cs="Open Sans"/>
          <w:lang w:val="en-GB"/>
        </w:rPr>
        <w:tab/>
        <w:t>Date</w:t>
      </w:r>
    </w:p>
    <w:p w14:paraId="7056F5A2" w14:textId="77777777" w:rsidR="007F53A0" w:rsidRDefault="007F53A0" w:rsidP="007F53A0">
      <w:pPr>
        <w:spacing w:after="0" w:line="240" w:lineRule="auto"/>
        <w:rPr>
          <w:rFonts w:ascii="Open Sans" w:eastAsia="Times New Roman" w:hAnsi="Open Sans" w:cs="Open Sans"/>
          <w:i/>
          <w:lang w:val="en-GB"/>
        </w:rPr>
      </w:pPr>
    </w:p>
    <w:p w14:paraId="531A2BA8" w14:textId="77777777" w:rsidR="007F53A0" w:rsidRDefault="007F53A0" w:rsidP="007F53A0">
      <w:pPr>
        <w:spacing w:after="0" w:line="240" w:lineRule="auto"/>
        <w:rPr>
          <w:rFonts w:ascii="Open Sans" w:eastAsia="Times New Roman" w:hAnsi="Open Sans" w:cs="Open Sans"/>
          <w:i/>
          <w:lang w:val="en-GB"/>
        </w:rPr>
      </w:pPr>
    </w:p>
    <w:p w14:paraId="2E09A3C6" w14:textId="77777777" w:rsidR="007F53A0" w:rsidRPr="009077C4" w:rsidRDefault="007F53A0" w:rsidP="007F53A0">
      <w:pPr>
        <w:spacing w:after="0" w:line="240" w:lineRule="auto"/>
        <w:rPr>
          <w:rFonts w:ascii="Open Sans" w:eastAsia="Times New Roman" w:hAnsi="Open Sans" w:cs="Open Sans"/>
          <w:i/>
          <w:lang w:val="en-GB"/>
        </w:rPr>
      </w:pPr>
      <w:r>
        <w:rPr>
          <w:rFonts w:ascii="Open Sans" w:eastAsia="Times New Roman" w:hAnsi="Open Sans" w:cs="Open Sans"/>
          <w:i/>
          <w:lang w:val="en-GB"/>
        </w:rPr>
        <w:lastRenderedPageBreak/>
        <w:t>N</w:t>
      </w:r>
      <w:r w:rsidRPr="008A21F4">
        <w:rPr>
          <w:rFonts w:ascii="Open Sans" w:eastAsia="Times New Roman" w:hAnsi="Open Sans" w:cs="Open Sans"/>
          <w:i/>
          <w:lang w:val="en-GB"/>
        </w:rPr>
        <w:t>ame and function of the person signing for the beneficiary</w:t>
      </w:r>
      <w:r>
        <w:rPr>
          <w:rFonts w:ascii="Open Sans" w:eastAsia="Times New Roman" w:hAnsi="Open Sans" w:cs="Open Sans"/>
          <w:i/>
          <w:lang w:val="en-GB"/>
        </w:rPr>
        <w:t xml:space="preserve"> </w:t>
      </w:r>
    </w:p>
    <w:p w14:paraId="42DCB14E" w14:textId="77777777" w:rsidR="007F53A0" w:rsidRDefault="007F53A0" w:rsidP="007F53A0">
      <w:pPr>
        <w:spacing w:after="0" w:line="240" w:lineRule="auto"/>
        <w:rPr>
          <w:rFonts w:ascii="Open Sans" w:eastAsia="Times New Roman" w:hAnsi="Open Sans" w:cs="Open Sans"/>
          <w:i/>
          <w:lang w:val="da-DK"/>
        </w:rPr>
      </w:pPr>
    </w:p>
    <w:p w14:paraId="278AD707" w14:textId="77777777" w:rsidR="007F53A0" w:rsidRPr="009A5E71" w:rsidRDefault="007F53A0" w:rsidP="007F53A0">
      <w:pPr>
        <w:spacing w:after="0" w:line="240" w:lineRule="auto"/>
        <w:rPr>
          <w:rFonts w:ascii="Open Sans" w:eastAsia="Times New Roman" w:hAnsi="Open Sans" w:cs="Open Sans"/>
          <w:b/>
          <w:lang w:val="da-DK"/>
        </w:rPr>
      </w:pPr>
      <w:r w:rsidRPr="009A5E71">
        <w:rPr>
          <w:rFonts w:ascii="Open Sans" w:eastAsia="Times New Roman" w:hAnsi="Open Sans" w:cs="Open Sans"/>
          <w:b/>
          <w:lang w:val="da-DK"/>
        </w:rPr>
        <w:t>Additional information</w:t>
      </w:r>
    </w:p>
    <w:p w14:paraId="1467EB48" w14:textId="77777777" w:rsidR="007F53A0" w:rsidRPr="009A5E71" w:rsidRDefault="007F53A0" w:rsidP="007F53A0">
      <w:pPr>
        <w:pStyle w:val="Kop1"/>
        <w:keepNext w:val="0"/>
        <w:keepLines w:val="0"/>
        <w:numPr>
          <w:ilvl w:val="0"/>
          <w:numId w:val="3"/>
        </w:numPr>
        <w:spacing w:before="360" w:after="240" w:line="240" w:lineRule="auto"/>
        <w:jc w:val="both"/>
        <w:rPr>
          <w:rFonts w:ascii="Open Sans" w:eastAsia="Times New Roman" w:hAnsi="Open Sans" w:cs="Open Sans"/>
          <w:sz w:val="20"/>
          <w:szCs w:val="20"/>
          <w:lang w:val="en-GB"/>
        </w:rPr>
      </w:pPr>
      <w:bookmarkStart w:id="1" w:name="_Toc447807028"/>
      <w:r w:rsidRPr="009A5E71">
        <w:rPr>
          <w:rFonts w:ascii="Open Sans" w:eastAsia="Times New Roman" w:hAnsi="Open Sans" w:cs="Open Sans"/>
          <w:i/>
          <w:iCs/>
          <w:sz w:val="20"/>
          <w:szCs w:val="20"/>
          <w:lang w:val="en-GB"/>
        </w:rPr>
        <w:t>De minimis</w:t>
      </w:r>
      <w:r w:rsidRPr="009A5E71">
        <w:rPr>
          <w:rStyle w:val="Voetnootmarkering1"/>
          <w:rFonts w:ascii="Open Sans" w:eastAsia="Times New Roman" w:hAnsi="Open Sans" w:cs="Open Sans"/>
          <w:sz w:val="20"/>
          <w:szCs w:val="20"/>
          <w:lang w:val="en-GB"/>
        </w:rPr>
        <w:footnoteReference w:customMarkFollows="1" w:id="1"/>
        <w:t>[1]</w:t>
      </w:r>
      <w:bookmarkEnd w:id="1"/>
    </w:p>
    <w:p w14:paraId="71B9E46C" w14:textId="77777777" w:rsidR="007F53A0" w:rsidRPr="005A7DDD" w:rsidRDefault="007F53A0" w:rsidP="007F53A0">
      <w:pPr>
        <w:jc w:val="both"/>
        <w:rPr>
          <w:rFonts w:ascii="Open Sans" w:hAnsi="Open Sans" w:cs="Open Sans"/>
          <w:sz w:val="20"/>
          <w:szCs w:val="20"/>
          <w:lang w:val="en-US"/>
        </w:rPr>
      </w:pPr>
      <w:r w:rsidRPr="005A7DDD">
        <w:rPr>
          <w:rFonts w:ascii="Open Sans" w:hAnsi="Open Sans" w:cs="Open Sans"/>
          <w:sz w:val="20"/>
          <w:szCs w:val="20"/>
          <w:lang w:val="en-US"/>
        </w:rPr>
        <w:t xml:space="preserve">The </w:t>
      </w:r>
      <w:r w:rsidRPr="005A7DDD">
        <w:rPr>
          <w:rFonts w:ascii="Open Sans" w:hAnsi="Open Sans" w:cs="Open Sans"/>
          <w:i/>
          <w:iCs/>
          <w:sz w:val="20"/>
          <w:szCs w:val="20"/>
          <w:lang w:val="en-US"/>
        </w:rPr>
        <w:t>de minimis</w:t>
      </w:r>
      <w:r w:rsidRPr="005A7DDD">
        <w:rPr>
          <w:rFonts w:ascii="Open Sans" w:hAnsi="Open Sans" w:cs="Open Sans"/>
          <w:sz w:val="20"/>
          <w:szCs w:val="20"/>
          <w:lang w:val="en-US"/>
        </w:rPr>
        <w:t xml:space="preserve"> rule allows for State aid relevant activities, but only those that are of minimum financial importance, up to a threshold in a rolling three year period, subject to certain administrative steps being taken. The amounts of </w:t>
      </w:r>
      <w:r w:rsidRPr="005A7DDD">
        <w:rPr>
          <w:rFonts w:ascii="Open Sans" w:hAnsi="Open Sans" w:cs="Open Sans"/>
          <w:i/>
          <w:iCs/>
          <w:sz w:val="20"/>
          <w:szCs w:val="20"/>
          <w:lang w:val="en-US"/>
        </w:rPr>
        <w:t>de minimis</w:t>
      </w:r>
      <w:r w:rsidRPr="005A7DDD">
        <w:rPr>
          <w:rFonts w:ascii="Open Sans" w:hAnsi="Open Sans" w:cs="Open Sans"/>
          <w:sz w:val="20"/>
          <w:szCs w:val="20"/>
          <w:lang w:val="en-US"/>
        </w:rPr>
        <w:t xml:space="preserve"> aid granted to a </w:t>
      </w:r>
      <w:r w:rsidRPr="005A7DDD">
        <w:rPr>
          <w:rFonts w:ascii="Open Sans" w:hAnsi="Open Sans" w:cs="Open Sans"/>
          <w:sz w:val="20"/>
          <w:szCs w:val="20"/>
          <w:u w:val="single"/>
          <w:lang w:val="en-US"/>
        </w:rPr>
        <w:t>single undertaking</w:t>
      </w:r>
      <w:r w:rsidRPr="005A7DDD">
        <w:rPr>
          <w:rFonts w:ascii="Open Sans" w:hAnsi="Open Sans" w:cs="Open Sans"/>
          <w:sz w:val="20"/>
          <w:szCs w:val="20"/>
          <w:lang w:val="en-US"/>
        </w:rPr>
        <w:t xml:space="preserve"> within the last 3 financial years cannot exceed €200,000</w:t>
      </w:r>
      <w:r w:rsidRPr="005A7DDD">
        <w:rPr>
          <w:rStyle w:val="Voetnootmarkering1"/>
          <w:rFonts w:ascii="Open Sans" w:hAnsi="Open Sans" w:cs="Open Sans"/>
          <w:sz w:val="20"/>
          <w:szCs w:val="20"/>
          <w:lang w:val="en-US"/>
        </w:rPr>
        <w:footnoteReference w:customMarkFollows="1" w:id="2"/>
        <w:t>[2]</w:t>
      </w:r>
      <w:r w:rsidRPr="005A7DDD">
        <w:rPr>
          <w:rFonts w:ascii="Open Sans" w:hAnsi="Open Sans" w:cs="Open Sans"/>
          <w:sz w:val="20"/>
          <w:szCs w:val="20"/>
          <w:lang w:val="en-US"/>
        </w:rPr>
        <w:t xml:space="preserve">. </w:t>
      </w:r>
    </w:p>
    <w:p w14:paraId="037CF714" w14:textId="77777777" w:rsidR="007F53A0" w:rsidRPr="009A5E71" w:rsidRDefault="007F53A0" w:rsidP="007F53A0">
      <w:pPr>
        <w:pStyle w:val="Kop2"/>
        <w:keepNext w:val="0"/>
        <w:keepLines w:val="0"/>
        <w:numPr>
          <w:ilvl w:val="1"/>
          <w:numId w:val="3"/>
        </w:numPr>
        <w:spacing w:before="240" w:after="120" w:line="240" w:lineRule="auto"/>
        <w:jc w:val="both"/>
        <w:rPr>
          <w:rFonts w:ascii="Open Sans" w:eastAsia="Times New Roman" w:hAnsi="Open Sans" w:cs="Open Sans"/>
          <w:sz w:val="20"/>
          <w:szCs w:val="20"/>
          <w:lang w:val="en-GB"/>
        </w:rPr>
      </w:pPr>
      <w:bookmarkStart w:id="2" w:name="_Toc447807029"/>
      <w:r w:rsidRPr="009A5E71">
        <w:rPr>
          <w:rFonts w:ascii="Open Sans" w:eastAsia="Times New Roman" w:hAnsi="Open Sans" w:cs="Open Sans"/>
          <w:sz w:val="20"/>
          <w:szCs w:val="20"/>
          <w:lang w:val="en-GB"/>
        </w:rPr>
        <w:t>Single undertaking</w:t>
      </w:r>
      <w:bookmarkEnd w:id="2"/>
    </w:p>
    <w:p w14:paraId="6C1F66D8" w14:textId="77777777" w:rsidR="007F53A0" w:rsidRPr="005A7DDD" w:rsidRDefault="007F53A0" w:rsidP="007F53A0">
      <w:pPr>
        <w:rPr>
          <w:rFonts w:ascii="Open Sans" w:hAnsi="Open Sans" w:cs="Open Sans"/>
          <w:sz w:val="20"/>
          <w:szCs w:val="20"/>
          <w:lang w:val="en-US" w:eastAsia="ja-JP"/>
        </w:rPr>
      </w:pPr>
      <w:r w:rsidRPr="005A7DDD">
        <w:rPr>
          <w:rFonts w:ascii="Open Sans" w:hAnsi="Open Sans" w:cs="Open Sans"/>
          <w:sz w:val="20"/>
          <w:szCs w:val="20"/>
          <w:lang w:val="en-US" w:eastAsia="ja-JP"/>
        </w:rPr>
        <w:t>Single undertaking means all enterprises having at least one of the following relationships with each other:</w:t>
      </w:r>
    </w:p>
    <w:p w14:paraId="0BB96F99" w14:textId="77777777" w:rsidR="007F53A0" w:rsidRPr="009A5E71" w:rsidRDefault="007F53A0" w:rsidP="007F53A0">
      <w:pPr>
        <w:pStyle w:val="Lijstalinea"/>
        <w:numPr>
          <w:ilvl w:val="0"/>
          <w:numId w:val="2"/>
        </w:numPr>
        <w:spacing w:after="0" w:line="240" w:lineRule="auto"/>
        <w:rPr>
          <w:rFonts w:ascii="Open Sans" w:hAnsi="Open Sans" w:cs="Open Sans"/>
          <w:sz w:val="20"/>
          <w:szCs w:val="20"/>
          <w:lang w:val="en-US"/>
        </w:rPr>
      </w:pPr>
      <w:r w:rsidRPr="009A5E71">
        <w:rPr>
          <w:rFonts w:ascii="Open Sans" w:hAnsi="Open Sans" w:cs="Open Sans"/>
          <w:sz w:val="20"/>
          <w:szCs w:val="20"/>
          <w:lang w:val="en-US"/>
        </w:rPr>
        <w:t>one enterprise has a majority of the shareholders’ or members’ voting rights in another enterprise;</w:t>
      </w:r>
    </w:p>
    <w:p w14:paraId="63FAEF43" w14:textId="77777777" w:rsidR="007F53A0" w:rsidRPr="009A5E71" w:rsidRDefault="007F53A0" w:rsidP="007F53A0">
      <w:pPr>
        <w:pStyle w:val="Lijstalinea"/>
        <w:numPr>
          <w:ilvl w:val="0"/>
          <w:numId w:val="2"/>
        </w:numPr>
        <w:spacing w:after="0" w:line="240" w:lineRule="auto"/>
        <w:rPr>
          <w:rFonts w:ascii="Open Sans" w:hAnsi="Open Sans" w:cs="Open Sans"/>
          <w:sz w:val="20"/>
          <w:szCs w:val="20"/>
          <w:lang w:val="en-US"/>
        </w:rPr>
      </w:pPr>
      <w:r w:rsidRPr="009A5E71">
        <w:rPr>
          <w:rFonts w:ascii="Open Sans" w:hAnsi="Open Sans" w:cs="Open Sans"/>
          <w:sz w:val="20"/>
          <w:szCs w:val="20"/>
          <w:lang w:val="en-US"/>
        </w:rPr>
        <w:t>one enterprise has the right to appoint or remove a majority of the members of the administrative, management or supervisory body of another enterprise;</w:t>
      </w:r>
    </w:p>
    <w:p w14:paraId="2CB9BD66" w14:textId="77777777" w:rsidR="007F53A0" w:rsidRPr="009A5E71" w:rsidRDefault="007F53A0" w:rsidP="007F53A0">
      <w:pPr>
        <w:pStyle w:val="Lijstalinea"/>
        <w:numPr>
          <w:ilvl w:val="0"/>
          <w:numId w:val="2"/>
        </w:numPr>
        <w:spacing w:after="0" w:line="240" w:lineRule="auto"/>
        <w:rPr>
          <w:rFonts w:ascii="Open Sans" w:hAnsi="Open Sans" w:cs="Open Sans"/>
          <w:sz w:val="20"/>
          <w:szCs w:val="20"/>
          <w:lang w:val="en-US"/>
        </w:rPr>
      </w:pPr>
      <w:r w:rsidRPr="009A5E71">
        <w:rPr>
          <w:rFonts w:ascii="Open Sans" w:hAnsi="Open Sans" w:cs="Open Sans"/>
          <w:sz w:val="20"/>
          <w:szCs w:val="20"/>
          <w:lang w:val="en-US"/>
        </w:rPr>
        <w:t>one enterprise has the right to exercise a dominant influence over another enterprise pursuant to a contract entered into with that enterprise or to a provision in its memorandum or articles of association;</w:t>
      </w:r>
    </w:p>
    <w:p w14:paraId="6CA3C6A5" w14:textId="77777777" w:rsidR="007F53A0" w:rsidRPr="009A5E71" w:rsidRDefault="007F53A0" w:rsidP="007F53A0">
      <w:pPr>
        <w:pStyle w:val="Lijstalinea"/>
        <w:numPr>
          <w:ilvl w:val="0"/>
          <w:numId w:val="2"/>
        </w:numPr>
        <w:spacing w:after="0" w:line="240" w:lineRule="auto"/>
        <w:rPr>
          <w:rFonts w:ascii="Open Sans" w:hAnsi="Open Sans" w:cs="Open Sans"/>
          <w:sz w:val="20"/>
          <w:szCs w:val="20"/>
          <w:lang w:val="en-US"/>
        </w:rPr>
      </w:pPr>
      <w:r w:rsidRPr="009A5E71">
        <w:rPr>
          <w:rFonts w:ascii="Open Sans" w:hAnsi="Open Sans" w:cs="Open Sans"/>
          <w:sz w:val="20"/>
          <w:szCs w:val="20"/>
          <w:lang w:val="en-US"/>
        </w:rPr>
        <w:t>one enterprise, which is a shareholder in or member of another enterprise, controls alone, pursuant to an agreement with other shareholders in or members of that enterprise, a majority of shareholders’ or members’ voting rights in that enterprise.</w:t>
      </w:r>
    </w:p>
    <w:p w14:paraId="6208AAEA" w14:textId="77777777" w:rsidR="007F53A0" w:rsidRPr="009A5E71" w:rsidRDefault="007F53A0" w:rsidP="007F53A0">
      <w:pPr>
        <w:rPr>
          <w:rFonts w:ascii="Open Sans" w:hAnsi="Open Sans" w:cs="Open Sans"/>
          <w:sz w:val="20"/>
          <w:szCs w:val="20"/>
          <w:lang w:val="en-GB" w:eastAsia="ja-JP"/>
        </w:rPr>
      </w:pPr>
      <w:r w:rsidRPr="005A7DDD">
        <w:rPr>
          <w:rFonts w:ascii="Open Sans" w:hAnsi="Open Sans" w:cs="Open Sans"/>
          <w:sz w:val="20"/>
          <w:szCs w:val="20"/>
          <w:lang w:val="en-US" w:eastAsia="ja-JP"/>
        </w:rPr>
        <w:t>Enterprises having any of the relationships referred to in points (a) to (d) through one or more other enterprises shall also be considered to be a single undertaking.</w:t>
      </w:r>
    </w:p>
    <w:p w14:paraId="0191C055" w14:textId="77777777" w:rsidR="007F53A0" w:rsidRPr="005A7DDD" w:rsidRDefault="007F53A0" w:rsidP="007F53A0">
      <w:pPr>
        <w:rPr>
          <w:rFonts w:ascii="Open Sans" w:hAnsi="Open Sans" w:cs="Open Sans"/>
          <w:sz w:val="20"/>
          <w:szCs w:val="20"/>
          <w:lang w:val="en-US" w:eastAsia="ja-JP"/>
        </w:rPr>
      </w:pPr>
      <w:r w:rsidRPr="005A7DDD">
        <w:rPr>
          <w:rFonts w:ascii="Open Sans" w:hAnsi="Open Sans" w:cs="Open Sans"/>
          <w:sz w:val="20"/>
          <w:szCs w:val="20"/>
          <w:lang w:val="en-US" w:eastAsia="ja-JP"/>
        </w:rPr>
        <w:t xml:space="preserve">Please note that enterprise means here any undertaking performing economic activity. </w:t>
      </w:r>
    </w:p>
    <w:p w14:paraId="4F8C30E1" w14:textId="77777777" w:rsidR="007F53A0" w:rsidRPr="009A5E71" w:rsidRDefault="007F53A0" w:rsidP="007F53A0">
      <w:pPr>
        <w:pStyle w:val="Kop2"/>
        <w:keepNext w:val="0"/>
        <w:keepLines w:val="0"/>
        <w:numPr>
          <w:ilvl w:val="1"/>
          <w:numId w:val="3"/>
        </w:numPr>
        <w:spacing w:before="240" w:after="120" w:line="240" w:lineRule="auto"/>
        <w:jc w:val="both"/>
        <w:rPr>
          <w:rFonts w:ascii="Open Sans" w:eastAsia="Times New Roman" w:hAnsi="Open Sans" w:cs="Open Sans"/>
          <w:sz w:val="20"/>
          <w:szCs w:val="20"/>
          <w:lang w:val="en-GB" w:eastAsia="ja-JP"/>
        </w:rPr>
      </w:pPr>
      <w:bookmarkStart w:id="3" w:name="_Toc447807030"/>
      <w:r w:rsidRPr="009A5E71">
        <w:rPr>
          <w:rFonts w:ascii="Open Sans" w:eastAsia="Times New Roman" w:hAnsi="Open Sans" w:cs="Open Sans"/>
          <w:sz w:val="20"/>
          <w:szCs w:val="20"/>
          <w:lang w:val="en-GB"/>
        </w:rPr>
        <w:t>Exclusions</w:t>
      </w:r>
      <w:bookmarkEnd w:id="3"/>
    </w:p>
    <w:p w14:paraId="503C03D3" w14:textId="77777777" w:rsidR="007F53A0" w:rsidRPr="005A7DDD" w:rsidRDefault="007F53A0" w:rsidP="007F53A0">
      <w:pPr>
        <w:jc w:val="both"/>
        <w:rPr>
          <w:rFonts w:ascii="Open Sans" w:hAnsi="Open Sans" w:cs="Open Sans"/>
          <w:sz w:val="20"/>
          <w:szCs w:val="20"/>
          <w:lang w:val="en-US"/>
        </w:rPr>
      </w:pPr>
      <w:r w:rsidRPr="005A7DDD">
        <w:rPr>
          <w:rFonts w:ascii="Open Sans" w:hAnsi="Open Sans" w:cs="Open Sans"/>
          <w:i/>
          <w:iCs/>
          <w:sz w:val="20"/>
          <w:szCs w:val="20"/>
          <w:lang w:val="en-US"/>
        </w:rPr>
        <w:t>De minimis</w:t>
      </w:r>
      <w:r w:rsidRPr="005A7DDD">
        <w:rPr>
          <w:rFonts w:ascii="Open Sans" w:hAnsi="Open Sans" w:cs="Open Sans"/>
          <w:sz w:val="20"/>
          <w:szCs w:val="20"/>
          <w:lang w:val="en-US"/>
        </w:rPr>
        <w:t xml:space="preserve"> granted by NWE </w:t>
      </w:r>
      <w:proofErr w:type="spellStart"/>
      <w:r w:rsidRPr="005A7DDD">
        <w:rPr>
          <w:rFonts w:ascii="Open Sans" w:hAnsi="Open Sans" w:cs="Open Sans"/>
          <w:sz w:val="20"/>
          <w:szCs w:val="20"/>
          <w:lang w:val="en-US"/>
        </w:rPr>
        <w:t>Programme</w:t>
      </w:r>
      <w:proofErr w:type="spellEnd"/>
      <w:r w:rsidRPr="005A7DDD">
        <w:rPr>
          <w:rFonts w:ascii="Open Sans" w:hAnsi="Open Sans" w:cs="Open Sans"/>
          <w:sz w:val="20"/>
          <w:szCs w:val="20"/>
          <w:lang w:val="en-US"/>
        </w:rPr>
        <w:t xml:space="preserve"> (both direct and downstream) does not apply to:</w:t>
      </w:r>
    </w:p>
    <w:p w14:paraId="296BA406" w14:textId="77777777" w:rsidR="007F53A0" w:rsidRPr="009A5E71" w:rsidRDefault="007F53A0" w:rsidP="007F53A0">
      <w:pPr>
        <w:pStyle w:val="Lijstalinea"/>
        <w:numPr>
          <w:ilvl w:val="0"/>
          <w:numId w:val="4"/>
        </w:numPr>
        <w:spacing w:after="0" w:line="240" w:lineRule="auto"/>
        <w:jc w:val="both"/>
        <w:rPr>
          <w:rFonts w:ascii="Open Sans" w:hAnsi="Open Sans" w:cs="Open Sans"/>
          <w:sz w:val="20"/>
          <w:szCs w:val="20"/>
          <w:lang w:val="en-US"/>
        </w:rPr>
      </w:pPr>
      <w:r w:rsidRPr="009A5E71">
        <w:rPr>
          <w:rFonts w:ascii="Open Sans" w:hAnsi="Open Sans" w:cs="Open Sans"/>
          <w:sz w:val="20"/>
          <w:szCs w:val="20"/>
          <w:lang w:val="en-US"/>
        </w:rPr>
        <w:t xml:space="preserve">aid granted to undertakings active in the fishery and aquaculture sector, </w:t>
      </w:r>
    </w:p>
    <w:p w14:paraId="21804303" w14:textId="77777777" w:rsidR="007F53A0" w:rsidRPr="009A5E71" w:rsidRDefault="007F53A0" w:rsidP="007F53A0">
      <w:pPr>
        <w:pStyle w:val="Lijstalinea"/>
        <w:numPr>
          <w:ilvl w:val="0"/>
          <w:numId w:val="4"/>
        </w:numPr>
        <w:spacing w:after="0" w:line="240" w:lineRule="auto"/>
        <w:jc w:val="both"/>
        <w:rPr>
          <w:rFonts w:ascii="Open Sans" w:hAnsi="Open Sans" w:cs="Open Sans"/>
          <w:sz w:val="20"/>
          <w:szCs w:val="20"/>
          <w:lang w:val="en-US"/>
        </w:rPr>
      </w:pPr>
      <w:r w:rsidRPr="009A5E71">
        <w:rPr>
          <w:rFonts w:ascii="Open Sans" w:hAnsi="Open Sans" w:cs="Open Sans"/>
          <w:sz w:val="20"/>
          <w:szCs w:val="20"/>
          <w:lang w:val="en-US"/>
        </w:rPr>
        <w:t>aid granted to undertakings active in the primary production of agricultural products;</w:t>
      </w:r>
    </w:p>
    <w:p w14:paraId="509792D8" w14:textId="77777777" w:rsidR="007F53A0" w:rsidRPr="009A5E71" w:rsidRDefault="007F53A0" w:rsidP="007F53A0">
      <w:pPr>
        <w:pStyle w:val="Lijstalinea"/>
        <w:numPr>
          <w:ilvl w:val="0"/>
          <w:numId w:val="4"/>
        </w:numPr>
        <w:spacing w:after="0" w:line="240" w:lineRule="auto"/>
        <w:jc w:val="both"/>
        <w:rPr>
          <w:rFonts w:ascii="Open Sans" w:hAnsi="Open Sans" w:cs="Open Sans"/>
          <w:sz w:val="20"/>
          <w:szCs w:val="20"/>
          <w:lang w:val="en-US"/>
        </w:rPr>
      </w:pPr>
      <w:r w:rsidRPr="009A5E71">
        <w:rPr>
          <w:rFonts w:ascii="Open Sans" w:hAnsi="Open Sans" w:cs="Open Sans"/>
          <w:sz w:val="20"/>
          <w:szCs w:val="20"/>
          <w:lang w:val="en-US"/>
        </w:rPr>
        <w:t>aid granted to undertakings active in the sector of processing and marketing of agricultural products, in the following cases:</w:t>
      </w:r>
    </w:p>
    <w:p w14:paraId="61E9509E" w14:textId="77777777" w:rsidR="007F53A0" w:rsidRPr="009A5E71" w:rsidRDefault="007F53A0" w:rsidP="007F53A0">
      <w:pPr>
        <w:pStyle w:val="Lijstalinea"/>
        <w:numPr>
          <w:ilvl w:val="1"/>
          <w:numId w:val="5"/>
        </w:numPr>
        <w:spacing w:after="0" w:line="240" w:lineRule="auto"/>
        <w:jc w:val="both"/>
        <w:rPr>
          <w:rFonts w:ascii="Open Sans" w:hAnsi="Open Sans" w:cs="Open Sans"/>
          <w:sz w:val="20"/>
          <w:szCs w:val="20"/>
          <w:lang w:val="en-US"/>
        </w:rPr>
      </w:pPr>
      <w:r w:rsidRPr="009A5E71">
        <w:rPr>
          <w:rFonts w:ascii="Open Sans" w:hAnsi="Open Sans" w:cs="Open Sans"/>
          <w:sz w:val="20"/>
          <w:szCs w:val="20"/>
          <w:lang w:val="en-US"/>
        </w:rPr>
        <w:lastRenderedPageBreak/>
        <w:t>where the amount of the aid is fixed on the basis of the price or quantity of such products purchased from primary producers or put on the market by the undertakings concerned;</w:t>
      </w:r>
    </w:p>
    <w:p w14:paraId="4EC6A9AB" w14:textId="77777777" w:rsidR="007F53A0" w:rsidRPr="009A5E71" w:rsidRDefault="007F53A0" w:rsidP="007F53A0">
      <w:pPr>
        <w:pStyle w:val="Lijstalinea"/>
        <w:numPr>
          <w:ilvl w:val="1"/>
          <w:numId w:val="5"/>
        </w:numPr>
        <w:spacing w:after="0" w:line="240" w:lineRule="auto"/>
        <w:jc w:val="both"/>
        <w:rPr>
          <w:rFonts w:ascii="Open Sans" w:hAnsi="Open Sans" w:cs="Open Sans"/>
          <w:sz w:val="20"/>
          <w:szCs w:val="20"/>
          <w:lang w:val="en-US"/>
        </w:rPr>
      </w:pPr>
      <w:r w:rsidRPr="009A5E71">
        <w:rPr>
          <w:rFonts w:ascii="Open Sans" w:hAnsi="Open Sans" w:cs="Open Sans"/>
          <w:sz w:val="20"/>
          <w:szCs w:val="20"/>
          <w:lang w:val="en-US"/>
        </w:rPr>
        <w:t>where the aid is conditional on being partly or entirely passed on to primary producers;</w:t>
      </w:r>
    </w:p>
    <w:p w14:paraId="3667F105" w14:textId="77777777" w:rsidR="007F53A0" w:rsidRPr="009A5E71" w:rsidRDefault="007F53A0" w:rsidP="007F53A0">
      <w:pPr>
        <w:pStyle w:val="Lijstalinea"/>
        <w:numPr>
          <w:ilvl w:val="0"/>
          <w:numId w:val="4"/>
        </w:numPr>
        <w:spacing w:after="0" w:line="240" w:lineRule="auto"/>
        <w:jc w:val="both"/>
        <w:rPr>
          <w:rFonts w:ascii="Open Sans" w:hAnsi="Open Sans" w:cs="Open Sans"/>
          <w:sz w:val="20"/>
          <w:szCs w:val="20"/>
          <w:lang w:val="en-US"/>
        </w:rPr>
      </w:pPr>
      <w:r w:rsidRPr="009A5E71">
        <w:rPr>
          <w:rFonts w:ascii="Open Sans" w:hAnsi="Open Sans" w:cs="Open Sans"/>
          <w:sz w:val="20"/>
          <w:szCs w:val="20"/>
          <w:lang w:val="en-US"/>
        </w:rPr>
        <w:t>aid to export-related activities towards third countries or Member States, namely aid directly linked to the quantities exported, to the establishment and operation of a distribution network or to other current expenditure linked to the export activity;</w:t>
      </w:r>
    </w:p>
    <w:p w14:paraId="4C9615DF" w14:textId="77777777" w:rsidR="007F53A0" w:rsidRPr="005A7DDD" w:rsidRDefault="007F53A0" w:rsidP="007F53A0">
      <w:pPr>
        <w:pStyle w:val="Lijstalinea"/>
        <w:numPr>
          <w:ilvl w:val="0"/>
          <w:numId w:val="4"/>
        </w:numPr>
        <w:spacing w:after="0" w:line="240" w:lineRule="auto"/>
        <w:jc w:val="both"/>
        <w:rPr>
          <w:rFonts w:ascii="Open Sans" w:hAnsi="Open Sans" w:cs="Open Sans"/>
          <w:sz w:val="20"/>
          <w:szCs w:val="20"/>
          <w:lang w:val="en-US"/>
        </w:rPr>
      </w:pPr>
      <w:r w:rsidRPr="002814EA">
        <w:rPr>
          <w:rFonts w:ascii="Open Sans" w:hAnsi="Open Sans" w:cs="Open Sans"/>
          <w:sz w:val="20"/>
          <w:szCs w:val="20"/>
          <w:lang w:val="en-US"/>
        </w:rPr>
        <w:t>aid contingent upon the use of domestic over imported goods.</w:t>
      </w:r>
    </w:p>
    <w:p w14:paraId="34D1E9AC" w14:textId="77777777" w:rsidR="007F53A0" w:rsidRPr="005A7DDD" w:rsidRDefault="007F53A0" w:rsidP="007F53A0">
      <w:pPr>
        <w:spacing w:after="0" w:line="240" w:lineRule="auto"/>
        <w:rPr>
          <w:rFonts w:ascii="Open Sans" w:hAnsi="Open Sans" w:cs="Open Sans"/>
          <w:b/>
          <w:sz w:val="20"/>
          <w:szCs w:val="20"/>
          <w:lang w:val="en-US"/>
        </w:rPr>
      </w:pPr>
    </w:p>
    <w:p w14:paraId="73FE4745" w14:textId="77777777" w:rsidR="007F53A0" w:rsidRPr="005139A2" w:rsidRDefault="007F53A0" w:rsidP="007F53A0">
      <w:pPr>
        <w:spacing w:after="0"/>
        <w:jc w:val="center"/>
        <w:rPr>
          <w:rFonts w:asciiTheme="minorHAnsi" w:hAnsiTheme="minorHAnsi" w:cstheme="minorHAnsi"/>
          <w:b/>
          <w:sz w:val="24"/>
          <w:szCs w:val="24"/>
          <w:lang w:val="en-US"/>
        </w:rPr>
      </w:pPr>
    </w:p>
    <w:p w14:paraId="7D010F75" w14:textId="77777777" w:rsidR="006442B8" w:rsidRDefault="006442B8"/>
    <w:sectPr w:rsidR="006442B8">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9F25B" w14:textId="77777777" w:rsidR="007F53A0" w:rsidRDefault="007F53A0" w:rsidP="007F53A0">
      <w:pPr>
        <w:spacing w:after="0" w:line="240" w:lineRule="auto"/>
      </w:pPr>
      <w:r>
        <w:separator/>
      </w:r>
    </w:p>
  </w:endnote>
  <w:endnote w:type="continuationSeparator" w:id="0">
    <w:p w14:paraId="1A724194" w14:textId="77777777" w:rsidR="007F53A0" w:rsidRDefault="007F53A0" w:rsidP="007F5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5190" w14:textId="77777777" w:rsidR="00CE417F" w:rsidRDefault="007F53A0">
    <w:pPr>
      <w:pStyle w:val="Voettekst"/>
      <w:jc w:val="center"/>
    </w:pPr>
    <w:r>
      <w:fldChar w:fldCharType="begin"/>
    </w:r>
    <w:r>
      <w:instrText>PAGE   \* MERGEFORMAT</w:instrText>
    </w:r>
    <w:r>
      <w:fldChar w:fldCharType="separate"/>
    </w:r>
    <w:r>
      <w:rPr>
        <w:noProof/>
      </w:rPr>
      <w:t>2</w:t>
    </w:r>
    <w:r>
      <w:fldChar w:fldCharType="end"/>
    </w:r>
  </w:p>
  <w:p w14:paraId="7056D382" w14:textId="77777777" w:rsidR="00CE417F" w:rsidRDefault="009314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3B72D" w14:textId="77777777" w:rsidR="007F53A0" w:rsidRDefault="007F53A0" w:rsidP="007F53A0">
      <w:pPr>
        <w:spacing w:after="0" w:line="240" w:lineRule="auto"/>
      </w:pPr>
      <w:r>
        <w:separator/>
      </w:r>
    </w:p>
  </w:footnote>
  <w:footnote w:type="continuationSeparator" w:id="0">
    <w:p w14:paraId="30C3D751" w14:textId="77777777" w:rsidR="007F53A0" w:rsidRDefault="007F53A0" w:rsidP="007F53A0">
      <w:pPr>
        <w:spacing w:after="0" w:line="240" w:lineRule="auto"/>
      </w:pPr>
      <w:r>
        <w:continuationSeparator/>
      </w:r>
    </w:p>
  </w:footnote>
  <w:footnote w:id="1">
    <w:p w14:paraId="297E9365" w14:textId="77777777" w:rsidR="007F53A0" w:rsidRDefault="007F53A0" w:rsidP="007F53A0">
      <w:pPr>
        <w:pStyle w:val="Voetnoottekst1"/>
        <w:rPr>
          <w:rFonts w:ascii="Open Sans" w:hAnsi="Open Sans" w:cs="Open Sans"/>
          <w:sz w:val="16"/>
          <w:szCs w:val="16"/>
        </w:rPr>
      </w:pPr>
      <w:r>
        <w:rPr>
          <w:rStyle w:val="Voetnootmarkering1"/>
          <w:rFonts w:ascii="Open Sans" w:hAnsi="Open Sans" w:cs="Open Sans"/>
          <w:sz w:val="16"/>
          <w:szCs w:val="16"/>
        </w:rPr>
        <w:t>[1]</w:t>
      </w:r>
      <w:r>
        <w:rPr>
          <w:rFonts w:ascii="Open Sans" w:hAnsi="Open Sans" w:cs="Open Sans"/>
          <w:sz w:val="16"/>
          <w:szCs w:val="16"/>
        </w:rPr>
        <w:t xml:space="preserve"> </w:t>
      </w:r>
      <w:proofErr w:type="spellStart"/>
      <w:r>
        <w:rPr>
          <w:rFonts w:ascii="Open Sans" w:hAnsi="Open Sans" w:cs="Open Sans"/>
          <w:sz w:val="16"/>
          <w:szCs w:val="16"/>
        </w:rPr>
        <w:t>Commission</w:t>
      </w:r>
      <w:proofErr w:type="spellEnd"/>
      <w:r>
        <w:rPr>
          <w:rFonts w:ascii="Open Sans" w:hAnsi="Open Sans" w:cs="Open Sans"/>
          <w:sz w:val="16"/>
          <w:szCs w:val="16"/>
        </w:rPr>
        <w:t xml:space="preserve"> </w:t>
      </w:r>
      <w:proofErr w:type="spellStart"/>
      <w:r>
        <w:rPr>
          <w:rFonts w:ascii="Open Sans" w:hAnsi="Open Sans" w:cs="Open Sans"/>
          <w:sz w:val="16"/>
          <w:szCs w:val="16"/>
        </w:rPr>
        <w:t>Regulation</w:t>
      </w:r>
      <w:proofErr w:type="spellEnd"/>
      <w:r>
        <w:rPr>
          <w:rFonts w:ascii="Open Sans" w:hAnsi="Open Sans" w:cs="Open Sans"/>
          <w:sz w:val="16"/>
          <w:szCs w:val="16"/>
        </w:rPr>
        <w:t xml:space="preserve"> (EU) No 1407/2013 of 18 December 2013 on </w:t>
      </w:r>
      <w:proofErr w:type="spellStart"/>
      <w:r>
        <w:rPr>
          <w:rFonts w:ascii="Open Sans" w:hAnsi="Open Sans" w:cs="Open Sans"/>
          <w:sz w:val="16"/>
          <w:szCs w:val="16"/>
        </w:rPr>
        <w:t>the</w:t>
      </w:r>
      <w:proofErr w:type="spellEnd"/>
      <w:r>
        <w:rPr>
          <w:rFonts w:ascii="Open Sans" w:hAnsi="Open Sans" w:cs="Open Sans"/>
          <w:sz w:val="16"/>
          <w:szCs w:val="16"/>
        </w:rPr>
        <w:t xml:space="preserve"> </w:t>
      </w:r>
      <w:proofErr w:type="spellStart"/>
      <w:r>
        <w:rPr>
          <w:rFonts w:ascii="Open Sans" w:hAnsi="Open Sans" w:cs="Open Sans"/>
          <w:sz w:val="16"/>
          <w:szCs w:val="16"/>
        </w:rPr>
        <w:t>application</w:t>
      </w:r>
      <w:proofErr w:type="spellEnd"/>
      <w:r>
        <w:rPr>
          <w:rFonts w:ascii="Open Sans" w:hAnsi="Open Sans" w:cs="Open Sans"/>
          <w:sz w:val="16"/>
          <w:szCs w:val="16"/>
        </w:rPr>
        <w:t xml:space="preserve"> of </w:t>
      </w:r>
      <w:proofErr w:type="spellStart"/>
      <w:r>
        <w:rPr>
          <w:rFonts w:ascii="Open Sans" w:hAnsi="Open Sans" w:cs="Open Sans"/>
          <w:sz w:val="16"/>
          <w:szCs w:val="16"/>
        </w:rPr>
        <w:t>Articles</w:t>
      </w:r>
      <w:proofErr w:type="spellEnd"/>
      <w:r>
        <w:rPr>
          <w:rFonts w:ascii="Open Sans" w:hAnsi="Open Sans" w:cs="Open Sans"/>
          <w:sz w:val="16"/>
          <w:szCs w:val="16"/>
        </w:rPr>
        <w:t xml:space="preserve"> 107 </w:t>
      </w:r>
      <w:proofErr w:type="spellStart"/>
      <w:r>
        <w:rPr>
          <w:rFonts w:ascii="Open Sans" w:hAnsi="Open Sans" w:cs="Open Sans"/>
          <w:sz w:val="16"/>
          <w:szCs w:val="16"/>
        </w:rPr>
        <w:t>and</w:t>
      </w:r>
      <w:proofErr w:type="spellEnd"/>
      <w:r>
        <w:rPr>
          <w:rFonts w:ascii="Open Sans" w:hAnsi="Open Sans" w:cs="Open Sans"/>
          <w:sz w:val="16"/>
          <w:szCs w:val="16"/>
        </w:rPr>
        <w:t xml:space="preserve"> 108 of </w:t>
      </w:r>
      <w:proofErr w:type="spellStart"/>
      <w:r>
        <w:rPr>
          <w:rFonts w:ascii="Open Sans" w:hAnsi="Open Sans" w:cs="Open Sans"/>
          <w:sz w:val="16"/>
          <w:szCs w:val="16"/>
        </w:rPr>
        <w:t>the</w:t>
      </w:r>
      <w:proofErr w:type="spellEnd"/>
      <w:r>
        <w:rPr>
          <w:rFonts w:ascii="Open Sans" w:hAnsi="Open Sans" w:cs="Open Sans"/>
          <w:sz w:val="16"/>
          <w:szCs w:val="16"/>
        </w:rPr>
        <w:t xml:space="preserve"> </w:t>
      </w:r>
      <w:proofErr w:type="spellStart"/>
      <w:r>
        <w:rPr>
          <w:rFonts w:ascii="Open Sans" w:hAnsi="Open Sans" w:cs="Open Sans"/>
          <w:sz w:val="16"/>
          <w:szCs w:val="16"/>
        </w:rPr>
        <w:t>Treaty</w:t>
      </w:r>
      <w:proofErr w:type="spellEnd"/>
      <w:r>
        <w:rPr>
          <w:rFonts w:ascii="Open Sans" w:hAnsi="Open Sans" w:cs="Open Sans"/>
          <w:sz w:val="16"/>
          <w:szCs w:val="16"/>
        </w:rPr>
        <w:t xml:space="preserve"> on </w:t>
      </w:r>
      <w:proofErr w:type="spellStart"/>
      <w:r>
        <w:rPr>
          <w:rFonts w:ascii="Open Sans" w:hAnsi="Open Sans" w:cs="Open Sans"/>
          <w:sz w:val="16"/>
          <w:szCs w:val="16"/>
        </w:rPr>
        <w:t>the</w:t>
      </w:r>
      <w:proofErr w:type="spellEnd"/>
      <w:r>
        <w:rPr>
          <w:rFonts w:ascii="Open Sans" w:hAnsi="Open Sans" w:cs="Open Sans"/>
          <w:sz w:val="16"/>
          <w:szCs w:val="16"/>
        </w:rPr>
        <w:t xml:space="preserve"> </w:t>
      </w:r>
      <w:proofErr w:type="spellStart"/>
      <w:r>
        <w:rPr>
          <w:rFonts w:ascii="Open Sans" w:hAnsi="Open Sans" w:cs="Open Sans"/>
          <w:sz w:val="16"/>
          <w:szCs w:val="16"/>
        </w:rPr>
        <w:t>Functioning</w:t>
      </w:r>
      <w:proofErr w:type="spellEnd"/>
      <w:r>
        <w:rPr>
          <w:rFonts w:ascii="Open Sans" w:hAnsi="Open Sans" w:cs="Open Sans"/>
          <w:sz w:val="16"/>
          <w:szCs w:val="16"/>
        </w:rPr>
        <w:t xml:space="preserve"> of </w:t>
      </w:r>
      <w:proofErr w:type="spellStart"/>
      <w:r>
        <w:rPr>
          <w:rFonts w:ascii="Open Sans" w:hAnsi="Open Sans" w:cs="Open Sans"/>
          <w:sz w:val="16"/>
          <w:szCs w:val="16"/>
        </w:rPr>
        <w:t>the</w:t>
      </w:r>
      <w:proofErr w:type="spellEnd"/>
      <w:r>
        <w:rPr>
          <w:rFonts w:ascii="Open Sans" w:hAnsi="Open Sans" w:cs="Open Sans"/>
          <w:sz w:val="16"/>
          <w:szCs w:val="16"/>
        </w:rPr>
        <w:t xml:space="preserve"> European Union </w:t>
      </w:r>
      <w:proofErr w:type="spellStart"/>
      <w:r>
        <w:rPr>
          <w:rFonts w:ascii="Open Sans" w:hAnsi="Open Sans" w:cs="Open Sans"/>
          <w:sz w:val="16"/>
          <w:szCs w:val="16"/>
        </w:rPr>
        <w:t>to</w:t>
      </w:r>
      <w:proofErr w:type="spellEnd"/>
      <w:r>
        <w:rPr>
          <w:rFonts w:ascii="Open Sans" w:hAnsi="Open Sans" w:cs="Open Sans"/>
          <w:sz w:val="16"/>
          <w:szCs w:val="16"/>
        </w:rPr>
        <w:t xml:space="preserve"> </w:t>
      </w:r>
      <w:r>
        <w:rPr>
          <w:rFonts w:ascii="Open Sans" w:hAnsi="Open Sans" w:cs="Open Sans"/>
          <w:i/>
          <w:iCs/>
          <w:sz w:val="16"/>
          <w:szCs w:val="16"/>
        </w:rPr>
        <w:t xml:space="preserve">de </w:t>
      </w:r>
      <w:proofErr w:type="spellStart"/>
      <w:r>
        <w:rPr>
          <w:rFonts w:ascii="Open Sans" w:hAnsi="Open Sans" w:cs="Open Sans"/>
          <w:i/>
          <w:iCs/>
          <w:sz w:val="16"/>
          <w:szCs w:val="16"/>
        </w:rPr>
        <w:t>minimis</w:t>
      </w:r>
      <w:proofErr w:type="spellEnd"/>
      <w:r>
        <w:rPr>
          <w:rFonts w:ascii="Open Sans" w:hAnsi="Open Sans" w:cs="Open Sans"/>
          <w:sz w:val="16"/>
          <w:szCs w:val="16"/>
        </w:rPr>
        <w:t xml:space="preserve"> </w:t>
      </w:r>
      <w:proofErr w:type="spellStart"/>
      <w:r>
        <w:rPr>
          <w:rFonts w:ascii="Open Sans" w:hAnsi="Open Sans" w:cs="Open Sans"/>
          <w:sz w:val="16"/>
          <w:szCs w:val="16"/>
        </w:rPr>
        <w:t>aid</w:t>
      </w:r>
      <w:proofErr w:type="spellEnd"/>
      <w:r>
        <w:rPr>
          <w:rFonts w:ascii="Open Sans" w:hAnsi="Open Sans" w:cs="Open Sans"/>
          <w:sz w:val="16"/>
          <w:szCs w:val="16"/>
        </w:rPr>
        <w:t xml:space="preserve"> </w:t>
      </w:r>
      <w:proofErr w:type="spellStart"/>
      <w:r>
        <w:rPr>
          <w:rFonts w:ascii="Open Sans" w:hAnsi="Open Sans" w:cs="Open Sans"/>
          <w:sz w:val="16"/>
          <w:szCs w:val="16"/>
        </w:rPr>
        <w:t>Text</w:t>
      </w:r>
      <w:proofErr w:type="spellEnd"/>
      <w:r>
        <w:rPr>
          <w:rFonts w:ascii="Open Sans" w:hAnsi="Open Sans" w:cs="Open Sans"/>
          <w:sz w:val="16"/>
          <w:szCs w:val="16"/>
        </w:rPr>
        <w:t xml:space="preserve"> </w:t>
      </w:r>
      <w:proofErr w:type="spellStart"/>
      <w:r>
        <w:rPr>
          <w:rFonts w:ascii="Open Sans" w:hAnsi="Open Sans" w:cs="Open Sans"/>
          <w:sz w:val="16"/>
          <w:szCs w:val="16"/>
        </w:rPr>
        <w:t>with</w:t>
      </w:r>
      <w:proofErr w:type="spellEnd"/>
      <w:r>
        <w:rPr>
          <w:rFonts w:ascii="Open Sans" w:hAnsi="Open Sans" w:cs="Open Sans"/>
          <w:sz w:val="16"/>
          <w:szCs w:val="16"/>
        </w:rPr>
        <w:t xml:space="preserve"> EEA </w:t>
      </w:r>
      <w:proofErr w:type="spellStart"/>
      <w:r>
        <w:rPr>
          <w:rFonts w:ascii="Open Sans" w:hAnsi="Open Sans" w:cs="Open Sans"/>
          <w:sz w:val="16"/>
          <w:szCs w:val="16"/>
        </w:rPr>
        <w:t>relevance</w:t>
      </w:r>
      <w:proofErr w:type="spellEnd"/>
      <w:r>
        <w:rPr>
          <w:rFonts w:ascii="Open Sans" w:hAnsi="Open Sans" w:cs="Open Sans"/>
          <w:sz w:val="16"/>
          <w:szCs w:val="16"/>
        </w:rPr>
        <w:t xml:space="preserve">, </w:t>
      </w:r>
      <w:hyperlink r:id="rId1" w:history="1">
        <w:r>
          <w:rPr>
            <w:rStyle w:val="Hyperlink"/>
            <w:sz w:val="16"/>
            <w:szCs w:val="16"/>
          </w:rPr>
          <w:t>http://eur-lex.europa.eu/legal-content/EN/TXT/?qid=1458746162354&amp;uri=CELEX:32013R1407</w:t>
        </w:r>
      </w:hyperlink>
      <w:r>
        <w:rPr>
          <w:rFonts w:ascii="Open Sans" w:hAnsi="Open Sans" w:cs="Open Sans"/>
          <w:sz w:val="16"/>
          <w:szCs w:val="16"/>
        </w:rPr>
        <w:t xml:space="preserve"> </w:t>
      </w:r>
    </w:p>
  </w:footnote>
  <w:footnote w:id="2">
    <w:p w14:paraId="77E96314" w14:textId="77777777" w:rsidR="007F53A0" w:rsidRDefault="007F53A0" w:rsidP="007F53A0">
      <w:pPr>
        <w:pStyle w:val="Voetnoottekst1"/>
        <w:rPr>
          <w:rFonts w:eastAsia="Times New Roman"/>
        </w:rPr>
      </w:pPr>
      <w:r>
        <w:rPr>
          <w:rStyle w:val="Voetnootmarkering1"/>
          <w:rFonts w:ascii="Open Sans" w:hAnsi="Open Sans" w:cs="Open Sans"/>
          <w:sz w:val="16"/>
          <w:szCs w:val="16"/>
        </w:rPr>
        <w:t>[2]</w:t>
      </w:r>
      <w:r>
        <w:rPr>
          <w:rFonts w:ascii="Open Sans" w:hAnsi="Open Sans" w:cs="Open Sans"/>
          <w:sz w:val="16"/>
          <w:szCs w:val="16"/>
        </w:rPr>
        <w:t xml:space="preserve"> In </w:t>
      </w:r>
      <w:proofErr w:type="spellStart"/>
      <w:r>
        <w:rPr>
          <w:rFonts w:ascii="Open Sans" w:hAnsi="Open Sans" w:cs="Open Sans"/>
          <w:sz w:val="16"/>
          <w:szCs w:val="16"/>
        </w:rPr>
        <w:t>the</w:t>
      </w:r>
      <w:proofErr w:type="spellEnd"/>
      <w:r>
        <w:rPr>
          <w:rFonts w:ascii="Open Sans" w:hAnsi="Open Sans" w:cs="Open Sans"/>
          <w:sz w:val="16"/>
          <w:szCs w:val="16"/>
        </w:rPr>
        <w:t xml:space="preserve"> </w:t>
      </w:r>
      <w:proofErr w:type="spellStart"/>
      <w:r>
        <w:rPr>
          <w:rFonts w:ascii="Open Sans" w:hAnsi="Open Sans" w:cs="Open Sans"/>
          <w:sz w:val="16"/>
          <w:szCs w:val="16"/>
        </w:rPr>
        <w:t>road</w:t>
      </w:r>
      <w:proofErr w:type="spellEnd"/>
      <w:r>
        <w:rPr>
          <w:rFonts w:ascii="Open Sans" w:hAnsi="Open Sans" w:cs="Open Sans"/>
          <w:sz w:val="16"/>
          <w:szCs w:val="16"/>
        </w:rPr>
        <w:t xml:space="preserve"> </w:t>
      </w:r>
      <w:proofErr w:type="spellStart"/>
      <w:r>
        <w:rPr>
          <w:rFonts w:ascii="Open Sans" w:hAnsi="Open Sans" w:cs="Open Sans"/>
          <w:sz w:val="16"/>
          <w:szCs w:val="16"/>
        </w:rPr>
        <w:t>freight</w:t>
      </w:r>
      <w:proofErr w:type="spellEnd"/>
      <w:r>
        <w:rPr>
          <w:rFonts w:ascii="Open Sans" w:hAnsi="Open Sans" w:cs="Open Sans"/>
          <w:sz w:val="16"/>
          <w:szCs w:val="16"/>
        </w:rPr>
        <w:t xml:space="preserve"> transport sector </w:t>
      </w:r>
      <w:proofErr w:type="spellStart"/>
      <w:r>
        <w:rPr>
          <w:rFonts w:ascii="Open Sans" w:hAnsi="Open Sans" w:cs="Open Sans"/>
          <w:sz w:val="16"/>
          <w:szCs w:val="16"/>
        </w:rPr>
        <w:t>this</w:t>
      </w:r>
      <w:proofErr w:type="spellEnd"/>
      <w:r>
        <w:rPr>
          <w:rFonts w:ascii="Open Sans" w:hAnsi="Open Sans" w:cs="Open Sans"/>
          <w:sz w:val="16"/>
          <w:szCs w:val="16"/>
        </w:rPr>
        <w:t xml:space="preserve"> </w:t>
      </w:r>
      <w:proofErr w:type="spellStart"/>
      <w:r>
        <w:rPr>
          <w:rFonts w:ascii="Open Sans" w:hAnsi="Open Sans" w:cs="Open Sans"/>
          <w:sz w:val="16"/>
          <w:szCs w:val="16"/>
        </w:rPr>
        <w:t>threshold</w:t>
      </w:r>
      <w:proofErr w:type="spellEnd"/>
      <w:r>
        <w:rPr>
          <w:rFonts w:ascii="Open Sans" w:hAnsi="Open Sans" w:cs="Open Sans"/>
          <w:sz w:val="16"/>
          <w:szCs w:val="16"/>
        </w:rPr>
        <w:t xml:space="preserve"> is </w:t>
      </w:r>
      <w:proofErr w:type="spellStart"/>
      <w:r>
        <w:rPr>
          <w:rFonts w:ascii="Open Sans" w:hAnsi="Open Sans" w:cs="Open Sans"/>
          <w:sz w:val="16"/>
          <w:szCs w:val="16"/>
        </w:rPr>
        <w:t>decreased</w:t>
      </w:r>
      <w:proofErr w:type="spellEnd"/>
      <w:r>
        <w:rPr>
          <w:rFonts w:ascii="Open Sans" w:hAnsi="Open Sans" w:cs="Open Sans"/>
          <w:sz w:val="16"/>
          <w:szCs w:val="16"/>
        </w:rPr>
        <w:t xml:space="preserve"> </w:t>
      </w:r>
      <w:proofErr w:type="spellStart"/>
      <w:r>
        <w:rPr>
          <w:rFonts w:ascii="Open Sans" w:hAnsi="Open Sans" w:cs="Open Sans"/>
          <w:sz w:val="16"/>
          <w:szCs w:val="16"/>
        </w:rPr>
        <w:t>to</w:t>
      </w:r>
      <w:proofErr w:type="spellEnd"/>
      <w:r>
        <w:rPr>
          <w:rFonts w:ascii="Open Sans" w:hAnsi="Open Sans" w:cs="Open Sans"/>
          <w:sz w:val="16"/>
          <w:szCs w:val="16"/>
        </w:rPr>
        <w:t xml:space="preserve"> €100,000 </w:t>
      </w:r>
      <w:proofErr w:type="spellStart"/>
      <w:r>
        <w:rPr>
          <w:rFonts w:ascii="Open Sans" w:hAnsi="Open Sans" w:cs="Open Sans"/>
          <w:sz w:val="16"/>
          <w:szCs w:val="16"/>
        </w:rPr>
        <w:t>and</w:t>
      </w:r>
      <w:proofErr w:type="spellEnd"/>
      <w:r>
        <w:rPr>
          <w:rFonts w:ascii="Open Sans" w:hAnsi="Open Sans" w:cs="Open Sans"/>
          <w:sz w:val="16"/>
          <w:szCs w:val="16"/>
        </w:rPr>
        <w:t xml:space="preserve"> </w:t>
      </w:r>
      <w:proofErr w:type="spellStart"/>
      <w:r>
        <w:rPr>
          <w:rFonts w:ascii="Open Sans" w:hAnsi="Open Sans" w:cs="Open Sans"/>
          <w:sz w:val="16"/>
          <w:szCs w:val="16"/>
        </w:rPr>
        <w:t>will</w:t>
      </w:r>
      <w:proofErr w:type="spellEnd"/>
      <w:r>
        <w:rPr>
          <w:rFonts w:ascii="Open Sans" w:hAnsi="Open Sans" w:cs="Open Sans"/>
          <w:sz w:val="16"/>
          <w:szCs w:val="16"/>
        </w:rPr>
        <w:t xml:space="preserve"> </w:t>
      </w:r>
      <w:proofErr w:type="spellStart"/>
      <w:r>
        <w:rPr>
          <w:rFonts w:ascii="Open Sans" w:hAnsi="Open Sans" w:cs="Open Sans"/>
          <w:sz w:val="16"/>
          <w:szCs w:val="16"/>
        </w:rPr>
        <w:t>not</w:t>
      </w:r>
      <w:proofErr w:type="spellEnd"/>
      <w:r>
        <w:rPr>
          <w:rFonts w:ascii="Open Sans" w:hAnsi="Open Sans" w:cs="Open Sans"/>
          <w:sz w:val="16"/>
          <w:szCs w:val="16"/>
        </w:rPr>
        <w:t xml:space="preserve"> </w:t>
      </w:r>
      <w:proofErr w:type="spellStart"/>
      <w:r>
        <w:rPr>
          <w:rFonts w:ascii="Open Sans" w:hAnsi="Open Sans" w:cs="Open Sans"/>
          <w:sz w:val="16"/>
          <w:szCs w:val="16"/>
        </w:rPr>
        <w:t>apply</w:t>
      </w:r>
      <w:proofErr w:type="spellEnd"/>
      <w:r>
        <w:rPr>
          <w:rFonts w:ascii="Open Sans" w:hAnsi="Open Sans" w:cs="Open Sans"/>
          <w:sz w:val="16"/>
          <w:szCs w:val="16"/>
        </w:rPr>
        <w:t xml:space="preserve"> </w:t>
      </w:r>
      <w:proofErr w:type="spellStart"/>
      <w:r>
        <w:rPr>
          <w:rFonts w:ascii="Open Sans" w:hAnsi="Open Sans" w:cs="Open Sans"/>
          <w:sz w:val="16"/>
          <w:szCs w:val="16"/>
        </w:rPr>
        <w:t>for</w:t>
      </w:r>
      <w:proofErr w:type="spellEnd"/>
      <w:r>
        <w:rPr>
          <w:rFonts w:ascii="Open Sans" w:hAnsi="Open Sans" w:cs="Open Sans"/>
          <w:sz w:val="16"/>
          <w:szCs w:val="16"/>
        </w:rPr>
        <w:t xml:space="preserve"> </w:t>
      </w:r>
      <w:proofErr w:type="spellStart"/>
      <w:r>
        <w:rPr>
          <w:rFonts w:ascii="Open Sans" w:hAnsi="Open Sans" w:cs="Open Sans"/>
          <w:sz w:val="16"/>
          <w:szCs w:val="16"/>
        </w:rPr>
        <w:t>acquisition</w:t>
      </w:r>
      <w:proofErr w:type="spellEnd"/>
      <w:r>
        <w:rPr>
          <w:rFonts w:ascii="Open Sans" w:hAnsi="Open Sans" w:cs="Open Sans"/>
          <w:sz w:val="16"/>
          <w:szCs w:val="16"/>
        </w:rPr>
        <w:t xml:space="preserve"> of </w:t>
      </w:r>
      <w:proofErr w:type="spellStart"/>
      <w:r>
        <w:rPr>
          <w:rFonts w:ascii="Open Sans" w:hAnsi="Open Sans" w:cs="Open Sans"/>
          <w:sz w:val="16"/>
          <w:szCs w:val="16"/>
        </w:rPr>
        <w:t>road</w:t>
      </w:r>
      <w:proofErr w:type="spellEnd"/>
      <w:r>
        <w:rPr>
          <w:rFonts w:ascii="Open Sans" w:hAnsi="Open Sans" w:cs="Open Sans"/>
          <w:sz w:val="16"/>
          <w:szCs w:val="16"/>
        </w:rPr>
        <w:t xml:space="preserve"> </w:t>
      </w:r>
      <w:proofErr w:type="spellStart"/>
      <w:r>
        <w:rPr>
          <w:rFonts w:ascii="Open Sans" w:hAnsi="Open Sans" w:cs="Open Sans"/>
          <w:sz w:val="16"/>
          <w:szCs w:val="16"/>
        </w:rPr>
        <w:t>freight</w:t>
      </w:r>
      <w:proofErr w:type="spellEnd"/>
      <w:r>
        <w:rPr>
          <w:rFonts w:ascii="Open Sans" w:hAnsi="Open Sans" w:cs="Open Sans"/>
          <w:sz w:val="16"/>
          <w:szCs w:val="16"/>
        </w:rPr>
        <w:t xml:space="preserve"> transport </w:t>
      </w:r>
      <w:proofErr w:type="spellStart"/>
      <w:r>
        <w:rPr>
          <w:rFonts w:ascii="Open Sans" w:hAnsi="Open Sans" w:cs="Open Sans"/>
          <w:sz w:val="16"/>
          <w:szCs w:val="16"/>
        </w:rPr>
        <w:t>vehicles</w:t>
      </w:r>
      <w:proofErr w:type="spellEnd"/>
      <w:r>
        <w:rPr>
          <w:rFonts w:ascii="Open Sans" w:hAnsi="Open Sans" w:cs="Open Sans"/>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EFA0C" w14:textId="77777777" w:rsidR="006D7F89" w:rsidRDefault="007F53A0" w:rsidP="00E42845">
    <w:pPr>
      <w:pStyle w:val="Koptekst"/>
      <w:tabs>
        <w:tab w:val="clear" w:pos="4536"/>
        <w:tab w:val="clear" w:pos="9072"/>
        <w:tab w:val="left" w:pos="8035"/>
      </w:tabs>
    </w:pPr>
    <w:r>
      <w:rPr>
        <w:noProof/>
      </w:rPr>
      <w:drawing>
        <wp:inline distT="0" distB="0" distL="0" distR="0" wp14:anchorId="07D306AF" wp14:editId="45B41B0D">
          <wp:extent cx="1377950" cy="656167"/>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82263" cy="658221"/>
                  </a:xfrm>
                  <a:prstGeom prst="rect">
                    <a:avLst/>
                  </a:prstGeom>
                </pic:spPr>
              </pic:pic>
            </a:graphicData>
          </a:graphic>
        </wp:inline>
      </w:drawing>
    </w:r>
    <w:r>
      <w:tab/>
    </w:r>
  </w:p>
  <w:p w14:paraId="251B80AB" w14:textId="77777777" w:rsidR="006D7F89" w:rsidRDefault="009314C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02E77"/>
    <w:multiLevelType w:val="hybridMultilevel"/>
    <w:tmpl w:val="4A1A5DC6"/>
    <w:lvl w:ilvl="0" w:tplc="D94E2E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78647D"/>
    <w:multiLevelType w:val="hybridMultilevel"/>
    <w:tmpl w:val="932228B6"/>
    <w:lvl w:ilvl="0" w:tplc="DAF43DFE">
      <w:start w:val="1"/>
      <w:numFmt w:val="lowerRoman"/>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F647DFC"/>
    <w:multiLevelType w:val="hybridMultilevel"/>
    <w:tmpl w:val="59A0B73A"/>
    <w:lvl w:ilvl="0" w:tplc="412A4DC6">
      <w:start w:val="1"/>
      <w:numFmt w:val="bullet"/>
      <w:lvlText w:val="□"/>
      <w:lvlJc w:val="left"/>
      <w:pPr>
        <w:tabs>
          <w:tab w:val="num" w:pos="720"/>
        </w:tabs>
        <w:ind w:left="720" w:hanging="360"/>
      </w:pPr>
      <w:rPr>
        <w:rFonts w:ascii="Courier New" w:hAnsi="Courier New"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8F25E6"/>
    <w:multiLevelType w:val="multilevel"/>
    <w:tmpl w:val="D0E442D8"/>
    <w:lvl w:ilvl="0">
      <w:start w:val="1"/>
      <w:numFmt w:val="decimal"/>
      <w:pStyle w:val="Kop11"/>
      <w:lvlText w:val="%1"/>
      <w:lvlJc w:val="left"/>
      <w:pPr>
        <w:ind w:left="432" w:hanging="432"/>
      </w:pPr>
      <w:rPr>
        <w:lang w:val="en-US"/>
      </w:rPr>
    </w:lvl>
    <w:lvl w:ilvl="1">
      <w:start w:val="1"/>
      <w:numFmt w:val="decimal"/>
      <w:pStyle w:val="Kop21"/>
      <w:lvlText w:val="%1.%2"/>
      <w:lvlJc w:val="left"/>
      <w:pPr>
        <w:ind w:left="576" w:hanging="576"/>
      </w:pPr>
    </w:lvl>
    <w:lvl w:ilvl="2">
      <w:start w:val="1"/>
      <w:numFmt w:val="decimal"/>
      <w:pStyle w:val="Kop31"/>
      <w:lvlText w:val="%1.%2.%3"/>
      <w:lvlJc w:val="left"/>
      <w:pPr>
        <w:ind w:left="720" w:hanging="720"/>
      </w:pPr>
    </w:lvl>
    <w:lvl w:ilvl="3">
      <w:start w:val="1"/>
      <w:numFmt w:val="decimal"/>
      <w:pStyle w:val="Kop41"/>
      <w:lvlText w:val="%1.%2.%3.%4"/>
      <w:lvlJc w:val="left"/>
      <w:pPr>
        <w:ind w:left="864" w:hanging="864"/>
      </w:pPr>
    </w:lvl>
    <w:lvl w:ilvl="4">
      <w:start w:val="1"/>
      <w:numFmt w:val="decimal"/>
      <w:pStyle w:val="Kop51"/>
      <w:lvlText w:val="%1.%2.%3.%4.%5"/>
      <w:lvlJc w:val="left"/>
      <w:pPr>
        <w:ind w:left="1008" w:hanging="1008"/>
      </w:pPr>
    </w:lvl>
    <w:lvl w:ilvl="5">
      <w:start w:val="1"/>
      <w:numFmt w:val="decimal"/>
      <w:pStyle w:val="Kop61"/>
      <w:lvlText w:val="%1.%2.%3.%4.%5.%6"/>
      <w:lvlJc w:val="left"/>
      <w:pPr>
        <w:ind w:left="1152" w:hanging="1152"/>
      </w:pPr>
    </w:lvl>
    <w:lvl w:ilvl="6">
      <w:start w:val="1"/>
      <w:numFmt w:val="decimal"/>
      <w:pStyle w:val="Kop71"/>
      <w:lvlText w:val="%1.%2.%3.%4.%5.%6.%7"/>
      <w:lvlJc w:val="left"/>
      <w:pPr>
        <w:ind w:left="1296" w:hanging="1296"/>
      </w:pPr>
    </w:lvl>
    <w:lvl w:ilvl="7">
      <w:start w:val="1"/>
      <w:numFmt w:val="decimal"/>
      <w:pStyle w:val="Kop81"/>
      <w:lvlText w:val="%1.%2.%3.%4.%5.%6.%7.%8"/>
      <w:lvlJc w:val="left"/>
      <w:pPr>
        <w:ind w:left="1440" w:hanging="1440"/>
      </w:pPr>
    </w:lvl>
    <w:lvl w:ilvl="8">
      <w:start w:val="1"/>
      <w:numFmt w:val="decimal"/>
      <w:pStyle w:val="Kop91"/>
      <w:lvlText w:val="%1.%2.%3.%4.%5.%6.%7.%8.%9"/>
      <w:lvlJc w:val="left"/>
      <w:pPr>
        <w:ind w:left="1584" w:hanging="1584"/>
      </w:pPr>
    </w:lvl>
  </w:abstractNum>
  <w:abstractNum w:abstractNumId="4" w15:restartNumberingAfterBreak="0">
    <w:nsid w:val="74D55C46"/>
    <w:multiLevelType w:val="hybridMultilevel"/>
    <w:tmpl w:val="243EE50C"/>
    <w:lvl w:ilvl="0" w:tplc="E7D8E464">
      <w:start w:val="1"/>
      <w:numFmt w:val="lowerLetter"/>
      <w:lvlText w:val="(%1)"/>
      <w:lvlJc w:val="left"/>
      <w:pPr>
        <w:ind w:left="720" w:hanging="360"/>
      </w:pPr>
    </w:lvl>
    <w:lvl w:ilvl="1" w:tplc="7C58A7F6">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3A0"/>
    <w:rsid w:val="006442B8"/>
    <w:rsid w:val="007F53A0"/>
    <w:rsid w:val="009314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6505"/>
  <w15:chartTrackingRefBased/>
  <w15:docId w15:val="{C4E041CD-B8E4-4F04-A652-7350892E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53A0"/>
    <w:pPr>
      <w:spacing w:after="200" w:line="276" w:lineRule="auto"/>
    </w:pPr>
    <w:rPr>
      <w:rFonts w:ascii="Calibri" w:eastAsia="Calibri" w:hAnsi="Calibri" w:cs="Times New Roman"/>
      <w:lang w:val="fr-FR"/>
    </w:rPr>
  </w:style>
  <w:style w:type="paragraph" w:styleId="Kop1">
    <w:name w:val="heading 1"/>
    <w:basedOn w:val="Standaard"/>
    <w:next w:val="Standaard"/>
    <w:link w:val="Kop1Char"/>
    <w:uiPriority w:val="9"/>
    <w:qFormat/>
    <w:rsid w:val="007F53A0"/>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paragraph" w:styleId="Kop2">
    <w:name w:val="heading 2"/>
    <w:basedOn w:val="Standaard"/>
    <w:next w:val="Standaard"/>
    <w:link w:val="Kop2Char"/>
    <w:uiPriority w:val="9"/>
    <w:semiHidden/>
    <w:unhideWhenUsed/>
    <w:qFormat/>
    <w:rsid w:val="007F53A0"/>
    <w:pPr>
      <w:keepNext/>
      <w:keepLines/>
      <w:spacing w:before="40" w:after="0" w:line="259"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F53A0"/>
    <w:rPr>
      <w:rFonts w:asciiTheme="majorHAnsi" w:eastAsiaTheme="majorEastAsia" w:hAnsiTheme="majorHAnsi" w:cstheme="majorBidi"/>
      <w:color w:val="2F5496" w:themeColor="accent1" w:themeShade="BF"/>
      <w:sz w:val="32"/>
      <w:szCs w:val="32"/>
      <w:lang w:val="en-US"/>
    </w:rPr>
  </w:style>
  <w:style w:type="character" w:customStyle="1" w:styleId="Kop2Char">
    <w:name w:val="Kop 2 Char"/>
    <w:basedOn w:val="Standaardalinea-lettertype"/>
    <w:link w:val="Kop2"/>
    <w:uiPriority w:val="9"/>
    <w:semiHidden/>
    <w:rsid w:val="007F53A0"/>
    <w:rPr>
      <w:rFonts w:asciiTheme="majorHAnsi" w:eastAsiaTheme="majorEastAsia" w:hAnsiTheme="majorHAnsi" w:cstheme="majorBidi"/>
      <w:color w:val="2F5496" w:themeColor="accent1" w:themeShade="BF"/>
      <w:sz w:val="26"/>
      <w:szCs w:val="26"/>
      <w:lang w:val="en-US"/>
    </w:rPr>
  </w:style>
  <w:style w:type="paragraph" w:styleId="Koptekst">
    <w:name w:val="header"/>
    <w:basedOn w:val="Standaard"/>
    <w:link w:val="KoptekstChar"/>
    <w:uiPriority w:val="99"/>
    <w:unhideWhenUsed/>
    <w:rsid w:val="007F53A0"/>
    <w:pPr>
      <w:tabs>
        <w:tab w:val="center" w:pos="4536"/>
        <w:tab w:val="right" w:pos="9072"/>
      </w:tabs>
    </w:pPr>
  </w:style>
  <w:style w:type="character" w:customStyle="1" w:styleId="KoptekstChar">
    <w:name w:val="Koptekst Char"/>
    <w:basedOn w:val="Standaardalinea-lettertype"/>
    <w:link w:val="Koptekst"/>
    <w:uiPriority w:val="99"/>
    <w:rsid w:val="007F53A0"/>
    <w:rPr>
      <w:rFonts w:ascii="Calibri" w:eastAsia="Calibri" w:hAnsi="Calibri" w:cs="Times New Roman"/>
      <w:lang w:val="fr-FR"/>
    </w:rPr>
  </w:style>
  <w:style w:type="paragraph" w:styleId="Voettekst">
    <w:name w:val="footer"/>
    <w:basedOn w:val="Standaard"/>
    <w:link w:val="VoettekstChar"/>
    <w:uiPriority w:val="99"/>
    <w:unhideWhenUsed/>
    <w:rsid w:val="007F53A0"/>
    <w:pPr>
      <w:tabs>
        <w:tab w:val="center" w:pos="4536"/>
        <w:tab w:val="right" w:pos="9072"/>
      </w:tabs>
    </w:pPr>
  </w:style>
  <w:style w:type="character" w:customStyle="1" w:styleId="VoettekstChar">
    <w:name w:val="Voettekst Char"/>
    <w:basedOn w:val="Standaardalinea-lettertype"/>
    <w:link w:val="Voettekst"/>
    <w:uiPriority w:val="99"/>
    <w:rsid w:val="007F53A0"/>
    <w:rPr>
      <w:rFonts w:ascii="Calibri" w:eastAsia="Calibri" w:hAnsi="Calibri" w:cs="Times New Roman"/>
      <w:lang w:val="fr-FR"/>
    </w:rPr>
  </w:style>
  <w:style w:type="paragraph" w:styleId="Lijstalinea">
    <w:name w:val="List Paragraph"/>
    <w:basedOn w:val="Standaard"/>
    <w:uiPriority w:val="34"/>
    <w:qFormat/>
    <w:rsid w:val="007F53A0"/>
    <w:pPr>
      <w:ind w:left="720"/>
      <w:contextualSpacing/>
    </w:pPr>
  </w:style>
  <w:style w:type="character" w:styleId="Hyperlink">
    <w:name w:val="Hyperlink"/>
    <w:basedOn w:val="Standaardalinea-lettertype"/>
    <w:uiPriority w:val="99"/>
    <w:unhideWhenUsed/>
    <w:rsid w:val="007F53A0"/>
    <w:rPr>
      <w:color w:val="0563C1" w:themeColor="hyperlink"/>
      <w:u w:val="single"/>
    </w:rPr>
  </w:style>
  <w:style w:type="table" w:styleId="Tabelraster">
    <w:name w:val="Table Grid"/>
    <w:basedOn w:val="Standaardtabel"/>
    <w:uiPriority w:val="39"/>
    <w:rsid w:val="007F53A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ESPON Footnote Text Char,Fußnote Char"/>
    <w:basedOn w:val="Standaardalinea-lettertype"/>
    <w:link w:val="Voetnoottekst1"/>
    <w:uiPriority w:val="99"/>
    <w:locked/>
    <w:rsid w:val="007F53A0"/>
    <w:rPr>
      <w:lang w:eastAsia="zh-CN"/>
    </w:rPr>
  </w:style>
  <w:style w:type="paragraph" w:customStyle="1" w:styleId="Voetnoottekst1">
    <w:name w:val="Voetnoottekst1"/>
    <w:aliases w:val="ESPON Footnote Text,Fußnote"/>
    <w:basedOn w:val="Standaard"/>
    <w:link w:val="FootnoteTextChar"/>
    <w:uiPriority w:val="99"/>
    <w:rsid w:val="007F53A0"/>
    <w:pPr>
      <w:spacing w:after="120" w:line="240" w:lineRule="auto"/>
      <w:jc w:val="both"/>
    </w:pPr>
    <w:rPr>
      <w:rFonts w:asciiTheme="minorHAnsi" w:eastAsiaTheme="minorHAnsi" w:hAnsiTheme="minorHAnsi" w:cstheme="minorBidi"/>
      <w:lang w:val="nl-NL" w:eastAsia="zh-CN"/>
    </w:rPr>
  </w:style>
  <w:style w:type="paragraph" w:customStyle="1" w:styleId="Kop11">
    <w:name w:val="Kop 11"/>
    <w:basedOn w:val="Standaard"/>
    <w:rsid w:val="007F53A0"/>
    <w:pPr>
      <w:numPr>
        <w:numId w:val="3"/>
      </w:numPr>
      <w:spacing w:after="0" w:line="240" w:lineRule="auto"/>
      <w:ind w:left="0" w:firstLine="0"/>
    </w:pPr>
    <w:rPr>
      <w:rFonts w:eastAsiaTheme="minorHAnsi"/>
      <w:lang w:val="nl-NL" w:eastAsia="nl-NL"/>
    </w:rPr>
  </w:style>
  <w:style w:type="paragraph" w:customStyle="1" w:styleId="Kop21">
    <w:name w:val="Kop 21"/>
    <w:basedOn w:val="Standaard"/>
    <w:rsid w:val="007F53A0"/>
    <w:pPr>
      <w:numPr>
        <w:ilvl w:val="1"/>
        <w:numId w:val="3"/>
      </w:numPr>
      <w:spacing w:after="0" w:line="240" w:lineRule="auto"/>
      <w:ind w:left="0" w:firstLine="0"/>
    </w:pPr>
    <w:rPr>
      <w:rFonts w:eastAsiaTheme="minorHAnsi"/>
      <w:lang w:val="nl-NL" w:eastAsia="nl-NL"/>
    </w:rPr>
  </w:style>
  <w:style w:type="paragraph" w:customStyle="1" w:styleId="Kop31">
    <w:name w:val="Kop 31"/>
    <w:basedOn w:val="Standaard"/>
    <w:rsid w:val="007F53A0"/>
    <w:pPr>
      <w:numPr>
        <w:ilvl w:val="2"/>
        <w:numId w:val="3"/>
      </w:numPr>
      <w:spacing w:after="0" w:line="240" w:lineRule="auto"/>
      <w:ind w:left="0" w:firstLine="0"/>
    </w:pPr>
    <w:rPr>
      <w:rFonts w:eastAsiaTheme="minorHAnsi"/>
      <w:lang w:val="nl-NL" w:eastAsia="nl-NL"/>
    </w:rPr>
  </w:style>
  <w:style w:type="paragraph" w:customStyle="1" w:styleId="Kop41">
    <w:name w:val="Kop 41"/>
    <w:basedOn w:val="Standaard"/>
    <w:rsid w:val="007F53A0"/>
    <w:pPr>
      <w:numPr>
        <w:ilvl w:val="3"/>
        <w:numId w:val="3"/>
      </w:numPr>
      <w:spacing w:after="0" w:line="240" w:lineRule="auto"/>
      <w:ind w:left="0" w:firstLine="0"/>
    </w:pPr>
    <w:rPr>
      <w:rFonts w:eastAsiaTheme="minorHAnsi"/>
      <w:lang w:val="nl-NL" w:eastAsia="nl-NL"/>
    </w:rPr>
  </w:style>
  <w:style w:type="paragraph" w:customStyle="1" w:styleId="Kop51">
    <w:name w:val="Kop 51"/>
    <w:basedOn w:val="Standaard"/>
    <w:rsid w:val="007F53A0"/>
    <w:pPr>
      <w:numPr>
        <w:ilvl w:val="4"/>
        <w:numId w:val="3"/>
      </w:numPr>
      <w:spacing w:after="0" w:line="240" w:lineRule="auto"/>
      <w:ind w:left="0" w:firstLine="0"/>
    </w:pPr>
    <w:rPr>
      <w:rFonts w:eastAsiaTheme="minorHAnsi"/>
      <w:lang w:val="nl-NL" w:eastAsia="nl-NL"/>
    </w:rPr>
  </w:style>
  <w:style w:type="paragraph" w:customStyle="1" w:styleId="Kop61">
    <w:name w:val="Kop 61"/>
    <w:basedOn w:val="Standaard"/>
    <w:rsid w:val="007F53A0"/>
    <w:pPr>
      <w:numPr>
        <w:ilvl w:val="5"/>
        <w:numId w:val="3"/>
      </w:numPr>
      <w:spacing w:after="0" w:line="240" w:lineRule="auto"/>
      <w:ind w:left="0" w:firstLine="0"/>
    </w:pPr>
    <w:rPr>
      <w:rFonts w:eastAsiaTheme="minorHAnsi"/>
      <w:lang w:val="nl-NL" w:eastAsia="nl-NL"/>
    </w:rPr>
  </w:style>
  <w:style w:type="paragraph" w:customStyle="1" w:styleId="Kop71">
    <w:name w:val="Kop 71"/>
    <w:basedOn w:val="Standaard"/>
    <w:rsid w:val="007F53A0"/>
    <w:pPr>
      <w:numPr>
        <w:ilvl w:val="6"/>
        <w:numId w:val="3"/>
      </w:numPr>
      <w:spacing w:after="0" w:line="240" w:lineRule="auto"/>
      <w:ind w:left="0" w:firstLine="0"/>
    </w:pPr>
    <w:rPr>
      <w:rFonts w:eastAsiaTheme="minorHAnsi"/>
      <w:lang w:val="nl-NL" w:eastAsia="nl-NL"/>
    </w:rPr>
  </w:style>
  <w:style w:type="paragraph" w:customStyle="1" w:styleId="Kop81">
    <w:name w:val="Kop 81"/>
    <w:basedOn w:val="Standaard"/>
    <w:rsid w:val="007F53A0"/>
    <w:pPr>
      <w:numPr>
        <w:ilvl w:val="7"/>
        <w:numId w:val="3"/>
      </w:numPr>
      <w:spacing w:after="0" w:line="240" w:lineRule="auto"/>
      <w:ind w:left="0" w:firstLine="0"/>
    </w:pPr>
    <w:rPr>
      <w:rFonts w:eastAsiaTheme="minorHAnsi"/>
      <w:lang w:val="nl-NL" w:eastAsia="nl-NL"/>
    </w:rPr>
  </w:style>
  <w:style w:type="paragraph" w:customStyle="1" w:styleId="Kop91">
    <w:name w:val="Kop 91"/>
    <w:basedOn w:val="Standaard"/>
    <w:rsid w:val="007F53A0"/>
    <w:pPr>
      <w:numPr>
        <w:ilvl w:val="8"/>
        <w:numId w:val="3"/>
      </w:numPr>
      <w:spacing w:after="0" w:line="240" w:lineRule="auto"/>
      <w:ind w:left="0" w:firstLine="0"/>
    </w:pPr>
    <w:rPr>
      <w:rFonts w:eastAsiaTheme="minorHAnsi"/>
      <w:lang w:val="nl-NL" w:eastAsia="nl-NL"/>
    </w:rPr>
  </w:style>
  <w:style w:type="character" w:customStyle="1" w:styleId="Voetnootmarkering1">
    <w:name w:val="Voetnootmarkering1"/>
    <w:aliases w:val="ESPON Footnote No,Footnote"/>
    <w:basedOn w:val="Standaardalinea-lettertype"/>
    <w:uiPriority w:val="99"/>
    <w:rsid w:val="007F53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EN/TXT/?qid=1458746162354&amp;uri=CELEX:32013R140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C0D1CBE538CA40B4609C2DEE0FB0B6" ma:contentTypeVersion="10" ma:contentTypeDescription="Een nieuw document maken." ma:contentTypeScope="" ma:versionID="50801425a8afb384dcc80cb84a0df28e">
  <xsd:schema xmlns:xsd="http://www.w3.org/2001/XMLSchema" xmlns:xs="http://www.w3.org/2001/XMLSchema" xmlns:p="http://schemas.microsoft.com/office/2006/metadata/properties" xmlns:ns3="25bf695b-aaf2-4392-b49a-405c84c10ae2" xmlns:ns4="c0264690-a066-41b6-b08d-fda34e27ab15" targetNamespace="http://schemas.microsoft.com/office/2006/metadata/properties" ma:root="true" ma:fieldsID="71814297f8ae99ed7a76cf6dfaec1228" ns3:_="" ns4:_="">
    <xsd:import namespace="25bf695b-aaf2-4392-b49a-405c84c10ae2"/>
    <xsd:import namespace="c0264690-a066-41b6-b08d-fda34e27ab1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bf695b-aaf2-4392-b49a-405c84c10ae2"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264690-a066-41b6-b08d-fda34e27ab1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365F00-71B3-4B96-99BF-AA0B4CF56608}">
  <ds:schemaRefs>
    <ds:schemaRef ds:uri="http://purl.org/dc/elements/1.1/"/>
    <ds:schemaRef ds:uri="http://schemas.microsoft.com/office/2006/metadata/properties"/>
    <ds:schemaRef ds:uri="c0264690-a066-41b6-b08d-fda34e27ab15"/>
    <ds:schemaRef ds:uri="http://schemas.microsoft.com/office/infopath/2007/PartnerControls"/>
    <ds:schemaRef ds:uri="25bf695b-aaf2-4392-b49a-405c84c10ae2"/>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03FD86B-AD57-4EAF-AA1C-E4986BBF00A7}">
  <ds:schemaRefs>
    <ds:schemaRef ds:uri="http://schemas.microsoft.com/sharepoint/v3/contenttype/forms"/>
  </ds:schemaRefs>
</ds:datastoreItem>
</file>

<file path=customXml/itemProps3.xml><?xml version="1.0" encoding="utf-8"?>
<ds:datastoreItem xmlns:ds="http://schemas.openxmlformats.org/officeDocument/2006/customXml" ds:itemID="{94BCBB68-B4B5-48D8-AC44-96E878C90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bf695b-aaf2-4392-b49a-405c84c10ae2"/>
    <ds:schemaRef ds:uri="c0264690-a066-41b6-b08d-fda34e27ab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632</Words>
  <Characters>3477</Characters>
  <Application>Microsoft Office Word</Application>
  <DocSecurity>0</DocSecurity>
  <Lines>28</Lines>
  <Paragraphs>8</Paragraphs>
  <ScaleCrop>false</ScaleCrop>
  <Company/>
  <LinksUpToDate>false</LinksUpToDate>
  <CharactersWithSpaces>4101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Büchner, Maaike</dc:creator>
  <cp:keywords/>
  <dc:description/>
  <cp:lastModifiedBy>Büchner, Maaike</cp:lastModifiedBy>
  <cp:revision>2</cp:revision>
  <dcterms:created xsi:type="dcterms:W3CDTF">2020-02-26T11:38:00Z</dcterms:created>
  <dcterms:modified xsi:type="dcterms:W3CDTF">2020-02-26T11:38:00Z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0x0101002DC0D1CBE538CA40B4609C2DEE0FB0B6</vt:lpwstr>
  </property>
</Properties>
</file>