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Local CLH manifesto</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Introductory text…</w:t>
      </w:r>
    </w:p>
    <w:p w:rsidR="00000000" w:rsidDel="00000000" w:rsidP="00000000" w:rsidRDefault="00000000" w:rsidRPr="00000000" w14:paraId="00000003">
      <w:pPr>
        <w:rPr>
          <w:i w:val="1"/>
        </w:rPr>
      </w:pPr>
      <w:r w:rsidDel="00000000" w:rsidR="00000000" w:rsidRPr="00000000">
        <w:rPr>
          <w:i w:val="1"/>
          <w:rtl w:val="0"/>
        </w:rPr>
        <w:t xml:space="preserve">[information about the local group and what this is for]</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Five top reasons to support CLH</w:t>
      </w:r>
    </w:p>
    <w:p w:rsidR="00000000" w:rsidDel="00000000" w:rsidP="00000000" w:rsidRDefault="00000000" w:rsidRPr="00000000" w14:paraId="00000006">
      <w:pPr>
        <w:rPr>
          <w:i w:val="1"/>
        </w:rPr>
      </w:pPr>
      <w:r w:rsidDel="00000000" w:rsidR="00000000" w:rsidRPr="00000000">
        <w:rPr>
          <w:i w:val="1"/>
          <w:rtl w:val="0"/>
        </w:rPr>
        <w:t xml:space="preserve">[Specific for the local area. Based on local need. For inspiration look at the CCIN report: </w:t>
      </w:r>
      <w:hyperlink r:id="rId6">
        <w:r w:rsidDel="00000000" w:rsidR="00000000" w:rsidRPr="00000000">
          <w:rPr>
            <w:i w:val="1"/>
            <w:color w:val="1155cc"/>
            <w:u w:val="single"/>
            <w:rtl w:val="0"/>
          </w:rPr>
          <w:t xml:space="preserve">http://www.ccinhousing.co.uk/</w:t>
        </w:r>
      </w:hyperlink>
      <w:r w:rsidDel="00000000" w:rsidR="00000000" w:rsidRPr="00000000">
        <w:rPr>
          <w:i w:val="1"/>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Asks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Strategic Support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Include CLH in your housing strategy, including recognising it as an approach to deliver affordable housing, bring empty homes back into use, regenerate existing homes and communities, and promote community cohesion.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Set a target for the number of CLH homes you will facilitate within a defined timescale, and identify how this will be met.</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Appoint CLH champions from the cabinet and among senior officers, with the authority to link up your ambitions with relevant strategy and processes.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Planning and affordable housing</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Adopt specific planning policies for CLH for example planning development policy.</w:t>
      </w: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Make use of section 106 and self/custom build opportunities to include CLH projects within schemes.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Permit CLH groups to develop local lettings policies for social/affordable rented homes that balance their autonomy with your allocations policy.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Finance and assets</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Make funding available to CLH groups from sources such as Right to Buy receipts, prudential borrowing, second homes Council Tax, commuted section 106 sums and the New Homes Bonus.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Support groups making applications to the Community Housing Fund, and in issuing community shares, providing match-funding where possible.</w:t>
      </w: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Make underused and surplus land and buildings available to CLH groups, using best consideration powers to sell, lease or transfer the assets at values that make policy objectives such as affordable housing viable, and ring fencing suitable sites (with covenants) for bids from CLH groups.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Support groups</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Provide or obtain CLH training for officers in areas including housing and planning, and ensure they are able to advise and support groups as appropriate.</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Appoint a first point of contact for CLH groups, able to signpost within the council and to provide hands-on support with tasks such as identifying land/buildings.</w:t>
      </w:r>
      <w:r w:rsidDel="00000000" w:rsidR="00000000" w:rsidRPr="00000000">
        <w:rPr>
          <w:rtl w:val="0"/>
        </w:rPr>
      </w:r>
    </w:p>
    <w:p w:rsidR="00000000" w:rsidDel="00000000" w:rsidP="00000000" w:rsidRDefault="00000000" w:rsidRPr="00000000" w14:paraId="0000001C">
      <w:pPr>
        <w:numPr>
          <w:ilvl w:val="0"/>
          <w:numId w:val="3"/>
        </w:numPr>
        <w:ind w:left="720" w:hanging="360"/>
        <w:rPr>
          <w:i w:val="1"/>
        </w:rPr>
      </w:pPr>
      <w:r w:rsidDel="00000000" w:rsidR="00000000" w:rsidRPr="00000000">
        <w:rPr>
          <w:i w:val="1"/>
          <w:rtl w:val="0"/>
        </w:rPr>
        <w:t xml:space="preserve">[You can add specific asks for individual groups here]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cin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